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Pr="00074926">
        <w:rPr>
          <w:rFonts w:ascii="Arial" w:eastAsia="Batang" w:hAnsi="Arial" w:cs="Arial"/>
          <w:b/>
          <w:bCs/>
          <w:szCs w:val="22"/>
        </w:rPr>
        <w:tab/>
      </w:r>
      <w:r w:rsidRPr="00074926">
        <w:rPr>
          <w:rFonts w:ascii="Arial" w:eastAsia="Batang" w:hAnsi="Arial" w:cs="Arial"/>
          <w:b/>
          <w:bCs/>
          <w:szCs w:val="22"/>
        </w:rPr>
        <w:tab/>
      </w:r>
      <w:r w:rsidR="00905344" w:rsidRPr="00905344">
        <w:rPr>
          <w:rFonts w:ascii="Arial" w:eastAsia="Batang" w:hAnsi="Arial" w:cs="Arial"/>
          <w:b/>
          <w:bCs/>
          <w:szCs w:val="22"/>
        </w:rPr>
        <w:t>R1-1902180</w:t>
      </w:r>
    </w:p>
    <w:p w:rsidR="00855F39" w:rsidRPr="00074926" w:rsidRDefault="004D5BF4" w:rsidP="00855F39">
      <w:pPr>
        <w:tabs>
          <w:tab w:val="center" w:pos="4536"/>
          <w:tab w:val="right" w:pos="9072"/>
        </w:tabs>
        <w:ind w:left="1440" w:hanging="1440"/>
        <w:rPr>
          <w:rFonts w:ascii="Arial" w:eastAsia="MS Mincho" w:hAnsi="Arial" w:cs="Arial"/>
          <w:b/>
          <w:bCs/>
          <w:szCs w:val="22"/>
          <w:lang w:eastAsia="ja-JP"/>
        </w:rPr>
      </w:pPr>
      <w:r w:rsidRPr="004D5BF4">
        <w:rPr>
          <w:rFonts w:ascii="Arial" w:eastAsia="MS Mincho" w:hAnsi="Arial" w:cs="Arial"/>
          <w:b/>
          <w:bCs/>
          <w:szCs w:val="22"/>
          <w:lang w:eastAsia="ja-JP"/>
        </w:rPr>
        <w:t>Athens, Greece, 25th February – 1st March,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rsidR="00855F39" w:rsidRDefault="00855F39" w:rsidP="00855F39">
      <w:pPr>
        <w:pStyle w:val="CRCoverPage"/>
        <w:tabs>
          <w:tab w:val="right" w:pos="9639"/>
          <w:tab w:val="right" w:pos="13323"/>
        </w:tabs>
        <w:spacing w:after="0"/>
        <w:rPr>
          <w:rFonts w:cs="Arial"/>
          <w:b/>
          <w:sz w:val="24"/>
          <w:szCs w:val="24"/>
        </w:rPr>
      </w:pPr>
    </w:p>
    <w:p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sidR="00CA382F">
        <w:rPr>
          <w:b/>
          <w:lang w:val="en-US"/>
        </w:rPr>
        <w:t>2</w:t>
      </w:r>
    </w:p>
    <w:p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CA382F" w:rsidRPr="00CA382F">
        <w:rPr>
          <w:b/>
          <w:color w:val="000000"/>
          <w:lang w:val="en-US"/>
        </w:rPr>
        <w:t>Considerations on UL Inter-UE Tx Multiplexing</w:t>
      </w:r>
    </w:p>
    <w:p w:rsidR="00855F39" w:rsidRPr="00074926" w:rsidRDefault="00855F39" w:rsidP="00855F39">
      <w:pPr>
        <w:tabs>
          <w:tab w:val="left" w:pos="1800"/>
        </w:tabs>
        <w:spacing w:after="60"/>
        <w:rPr>
          <w:b/>
        </w:rPr>
      </w:pPr>
      <w:r w:rsidRPr="00074926">
        <w:rPr>
          <w:b/>
        </w:rPr>
        <w:t>Document for:</w:t>
      </w:r>
      <w:r w:rsidRPr="00074926">
        <w:rPr>
          <w:b/>
        </w:rPr>
        <w:tab/>
        <w:t>Discussion / decision</w:t>
      </w: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rsidR="004D5BF4" w:rsidRDefault="004D5BF4" w:rsidP="004D5BF4">
      <w:pPr>
        <w:rPr>
          <w:rFonts w:eastAsia="MS Mincho"/>
          <w:lang w:val="en-US"/>
        </w:rPr>
      </w:pPr>
      <w:r>
        <w:rPr>
          <w:rFonts w:eastAsia="MS Mincho"/>
          <w:lang w:val="en-US"/>
        </w:rPr>
        <w:t xml:space="preserve">In RAN1 Ad-Hoc 1901, we </w:t>
      </w:r>
      <w:r w:rsidR="00F70B87">
        <w:rPr>
          <w:rFonts w:eastAsia="MS Mincho"/>
          <w:lang w:val="en-US"/>
        </w:rPr>
        <w:t>agreed the following:</w:t>
      </w:r>
    </w:p>
    <w:p w:rsidR="00F70B87" w:rsidRDefault="00F70B87" w:rsidP="004D5BF4">
      <w:pPr>
        <w:rPr>
          <w:rFonts w:eastAsia="MS Mincho"/>
          <w:lang w:val="en-US"/>
        </w:rPr>
      </w:pPr>
    </w:p>
    <w:p w:rsidR="00F70B87" w:rsidRPr="00F70B87" w:rsidRDefault="00F70B87" w:rsidP="00F70B87">
      <w:pPr>
        <w:ind w:left="720"/>
        <w:rPr>
          <w:i/>
          <w:lang w:eastAsia="x-none"/>
        </w:rPr>
      </w:pPr>
      <w:r w:rsidRPr="00F70B87">
        <w:rPr>
          <w:i/>
          <w:highlight w:val="green"/>
          <w:lang w:eastAsia="x-none"/>
        </w:rPr>
        <w:t>Agreements</w:t>
      </w:r>
      <w:r w:rsidRPr="00F70B87">
        <w:rPr>
          <w:i/>
          <w:lang w:eastAsia="x-none"/>
        </w:rPr>
        <w:t>:</w:t>
      </w:r>
    </w:p>
    <w:p w:rsidR="00F70B87" w:rsidRPr="00F70B87" w:rsidRDefault="00F70B87" w:rsidP="00F70B87">
      <w:pPr>
        <w:ind w:left="720"/>
        <w:rPr>
          <w:i/>
          <w:lang w:eastAsia="zh-CN"/>
        </w:rPr>
      </w:pPr>
      <w:r w:rsidRPr="00F70B87">
        <w:rPr>
          <w:rFonts w:hint="eastAsia"/>
          <w:i/>
          <w:lang w:eastAsia="zh-CN"/>
        </w:rPr>
        <w:t xml:space="preserve">Capture the following in TR 38.824 section </w:t>
      </w:r>
      <w:r w:rsidRPr="00F70B87">
        <w:rPr>
          <w:i/>
          <w:lang w:eastAsia="zh-CN"/>
        </w:rPr>
        <w:t>7.</w:t>
      </w:r>
      <w:r w:rsidRPr="00F70B87">
        <w:rPr>
          <w:rFonts w:hint="eastAsia"/>
          <w:i/>
          <w:lang w:eastAsia="zh-CN"/>
        </w:rPr>
        <w:t>2</w:t>
      </w:r>
      <w:r w:rsidRPr="00F70B87">
        <w:rPr>
          <w:i/>
          <w:lang w:eastAsia="zh-CN"/>
        </w:rPr>
        <w:t>.1“UE UL cancelation mechanisms”</w:t>
      </w:r>
    </w:p>
    <w:p w:rsidR="00F70B87" w:rsidRPr="00F70B87" w:rsidRDefault="00F70B87" w:rsidP="00F70B87">
      <w:pPr>
        <w:ind w:left="720"/>
        <w:rPr>
          <w:i/>
        </w:rPr>
      </w:pPr>
      <w:r w:rsidRPr="00F70B87">
        <w:rPr>
          <w:rFonts w:hint="eastAsia"/>
          <w:i/>
        </w:rPr>
        <w:t xml:space="preserve">UE UL cancelation mechanism is considered as one potential enhancement for </w:t>
      </w:r>
      <w:r w:rsidRPr="00F70B87">
        <w:rPr>
          <w:i/>
        </w:rPr>
        <w:t>U</w:t>
      </w:r>
      <w:r w:rsidRPr="00F70B87">
        <w:rPr>
          <w:rFonts w:hint="eastAsia"/>
          <w:i/>
        </w:rPr>
        <w:t xml:space="preserve">L inter-UE Tx prioritization/multiplexing. Either PDCCH or sequence can be considered </w:t>
      </w:r>
      <w:r w:rsidRPr="00F70B87">
        <w:rPr>
          <w:i/>
        </w:rPr>
        <w:t xml:space="preserve">as potential options </w:t>
      </w:r>
      <w:r w:rsidRPr="00F70B87">
        <w:rPr>
          <w:rFonts w:hint="eastAsia"/>
          <w:i/>
        </w:rPr>
        <w:t>for the UL cancelation indication. If PDCCH is used, either group common DCI or UE-specific DCI can be considered</w:t>
      </w:r>
      <w:r w:rsidRPr="00F70B87">
        <w:rPr>
          <w:i/>
        </w:rPr>
        <w:t xml:space="preserve"> as potential options</w:t>
      </w:r>
      <w:r w:rsidRPr="00F70B87">
        <w:rPr>
          <w:rFonts w:hint="eastAsia"/>
          <w:i/>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F70B87">
        <w:rPr>
          <w:i/>
        </w:rPr>
        <w:t xml:space="preserve"> </w:t>
      </w:r>
      <w:r w:rsidRPr="00F70B87">
        <w:rPr>
          <w:rFonts w:hint="eastAsia"/>
          <w:i/>
        </w:rPr>
        <w:t xml:space="preserve">If PDCCH is used, whether the UE PDCCH monitoring capability (number of CCEs/BDs per slot) should be increased is to be </w:t>
      </w:r>
      <w:r w:rsidRPr="00F70B87">
        <w:rPr>
          <w:i/>
        </w:rPr>
        <w:t>further</w:t>
      </w:r>
      <w:r w:rsidRPr="00F70B87">
        <w:rPr>
          <w:rFonts w:hint="eastAsia"/>
          <w:i/>
        </w:rPr>
        <w:t xml:space="preserve"> investigated. </w:t>
      </w:r>
      <w:r w:rsidRPr="00F70B87">
        <w:rPr>
          <w:i/>
        </w:rPr>
        <w:t xml:space="preserve">The </w:t>
      </w:r>
      <w:r w:rsidRPr="00F70B87">
        <w:rPr>
          <w:rFonts w:hint="eastAsia"/>
          <w:i/>
        </w:rPr>
        <w:t xml:space="preserve">UE </w:t>
      </w:r>
      <w:r w:rsidRPr="00F70B87">
        <w:rPr>
          <w:i/>
        </w:rPr>
        <w:t xml:space="preserve">processing </w:t>
      </w:r>
      <w:r w:rsidRPr="00F70B87">
        <w:rPr>
          <w:rFonts w:hint="eastAsia"/>
          <w:i/>
        </w:rPr>
        <w:t xml:space="preserve">time </w:t>
      </w:r>
      <w:r w:rsidRPr="00F70B87">
        <w:rPr>
          <w:i/>
        </w:rPr>
        <w:t>for UL cancelation indication</w:t>
      </w:r>
      <w:r w:rsidRPr="00F70B87">
        <w:rPr>
          <w:rFonts w:hint="eastAsia"/>
          <w:i/>
        </w:rPr>
        <w:t xml:space="preserve"> should be equal or </w:t>
      </w:r>
      <w:r w:rsidRPr="00F70B87">
        <w:rPr>
          <w:i/>
        </w:rPr>
        <w:t>shorter than N2 defined in Rel-15</w:t>
      </w:r>
      <w:r w:rsidRPr="00F70B87">
        <w:rPr>
          <w:rFonts w:hint="eastAsia"/>
          <w:i/>
        </w:rPr>
        <w:t xml:space="preserve"> UE capability#2. Upon detecting an UL cancelation indication, UE cancels the corresponding UL transmission. The corresponding UL transmission may </w:t>
      </w:r>
      <w:r w:rsidRPr="00F70B87">
        <w:rPr>
          <w:i/>
        </w:rPr>
        <w:t>include</w:t>
      </w:r>
      <w:r w:rsidRPr="00F70B87">
        <w:rPr>
          <w:rFonts w:hint="eastAsia"/>
          <w:i/>
        </w:rPr>
        <w:t xml:space="preserve"> an on-going UL </w:t>
      </w:r>
      <w:r w:rsidRPr="00F70B87">
        <w:rPr>
          <w:i/>
        </w:rPr>
        <w:t>transmission</w:t>
      </w:r>
      <w:r w:rsidRPr="00F70B87">
        <w:rPr>
          <w:rFonts w:hint="eastAsia"/>
          <w:i/>
        </w:rPr>
        <w:t xml:space="preserve">, or an UL </w:t>
      </w:r>
      <w:r w:rsidRPr="00F70B87">
        <w:rPr>
          <w:i/>
        </w:rPr>
        <w:t>transmission</w:t>
      </w:r>
      <w:r w:rsidRPr="00F70B87">
        <w:rPr>
          <w:rFonts w:hint="eastAsia"/>
          <w:i/>
        </w:rPr>
        <w:t xml:space="preserve"> that has not been started. After cancelation, </w:t>
      </w:r>
      <w:r w:rsidRPr="00F70B87">
        <w:rPr>
          <w:i/>
        </w:rPr>
        <w:t>the UE may resume</w:t>
      </w:r>
      <w:r w:rsidRPr="00F70B87">
        <w:rPr>
          <w:rFonts w:hint="eastAsia"/>
          <w:i/>
        </w:rPr>
        <w:t xml:space="preserve"> the transmission afterward</w:t>
      </w:r>
      <w:r w:rsidRPr="00F70B87">
        <w:rPr>
          <w:i/>
        </w:rPr>
        <w:t>s as one option, or may not resume the transmission afterwards as another option.</w:t>
      </w:r>
    </w:p>
    <w:p w:rsidR="00F70B87" w:rsidRPr="00F70B87" w:rsidRDefault="00F70B87" w:rsidP="00F70B87">
      <w:pPr>
        <w:ind w:left="720"/>
        <w:rPr>
          <w:i/>
        </w:rPr>
      </w:pPr>
      <w:r w:rsidRPr="00F70B87">
        <w:rPr>
          <w:i/>
        </w:rPr>
        <w:t>Aim to downselect the option(s) in RAN1#96 as indicated in the above text (including no additional enhancements related to the above options due to this SI)</w:t>
      </w:r>
    </w:p>
    <w:p w:rsidR="00F70B87" w:rsidRPr="00F70B87" w:rsidRDefault="00F70B87" w:rsidP="00F70B87">
      <w:pPr>
        <w:ind w:left="720"/>
        <w:rPr>
          <w:i/>
        </w:rPr>
      </w:pPr>
    </w:p>
    <w:p w:rsidR="00F70B87" w:rsidRPr="00F70B87" w:rsidRDefault="00F70B87" w:rsidP="00F70B87">
      <w:pPr>
        <w:ind w:left="720"/>
        <w:rPr>
          <w:i/>
          <w:lang w:eastAsia="x-none"/>
        </w:rPr>
      </w:pPr>
      <w:r w:rsidRPr="00F70B87">
        <w:rPr>
          <w:i/>
          <w:highlight w:val="green"/>
          <w:lang w:eastAsia="x-none"/>
        </w:rPr>
        <w:t>Agreements</w:t>
      </w:r>
      <w:r w:rsidRPr="00F70B87">
        <w:rPr>
          <w:i/>
          <w:lang w:eastAsia="x-none"/>
        </w:rPr>
        <w:t>:</w:t>
      </w:r>
    </w:p>
    <w:p w:rsidR="00F70B87" w:rsidRPr="00F70B87" w:rsidRDefault="00F70B87" w:rsidP="00F70B87">
      <w:pPr>
        <w:numPr>
          <w:ilvl w:val="0"/>
          <w:numId w:val="25"/>
        </w:numPr>
        <w:spacing w:after="0"/>
        <w:ind w:left="1440"/>
        <w:rPr>
          <w:i/>
          <w:lang w:eastAsia="x-none"/>
        </w:rPr>
      </w:pPr>
      <w:r w:rsidRPr="00F70B87">
        <w:rPr>
          <w:i/>
          <w:lang w:eastAsia="x-none"/>
        </w:rPr>
        <w:t>Introduce the following TP to the TR:</w:t>
      </w:r>
    </w:p>
    <w:p w:rsidR="00F70B87" w:rsidRPr="00F70B87" w:rsidRDefault="00F70B87" w:rsidP="00F70B87">
      <w:pPr>
        <w:ind w:left="720"/>
        <w:jc w:val="both"/>
        <w:rPr>
          <w:i/>
          <w:lang w:eastAsia="zh-CN"/>
        </w:rPr>
      </w:pPr>
      <w:r w:rsidRPr="00F70B87">
        <w:rPr>
          <w:rFonts w:hint="eastAsia"/>
          <w:i/>
          <w:lang w:eastAsia="zh-CN"/>
        </w:rPr>
        <w:t>Enhanced UL power control is considered as one potential enhancement for UL inter-UE Tx prioritization/multiplexing. The potential enhanced UL power control may include UE determining the power control parameter set (e.g. P</w:t>
      </w:r>
      <w:r w:rsidRPr="00F70B87">
        <w:rPr>
          <w:rFonts w:hint="eastAsia"/>
          <w:i/>
          <w:vertAlign w:val="subscript"/>
          <w:lang w:eastAsia="zh-CN"/>
        </w:rPr>
        <w:t>0</w:t>
      </w:r>
      <w:r w:rsidRPr="00F70B87">
        <w:rPr>
          <w:rFonts w:hint="eastAsia"/>
          <w:i/>
          <w:lang w:eastAsia="zh-CN"/>
        </w:rPr>
        <w:t>, alpha)</w:t>
      </w:r>
      <w:r w:rsidRPr="00F70B87">
        <w:rPr>
          <w:i/>
          <w:lang w:eastAsia="zh-CN"/>
        </w:rPr>
        <w:t xml:space="preserve"> </w:t>
      </w:r>
      <w:r w:rsidRPr="00F70B87">
        <w:rPr>
          <w:rFonts w:hint="eastAsia"/>
          <w:i/>
          <w:lang w:eastAsia="zh-CN"/>
        </w:rPr>
        <w:t xml:space="preserve">based on scheduling DCI indication without using SRI, </w:t>
      </w:r>
      <w:r w:rsidRPr="00F70B87">
        <w:rPr>
          <w:i/>
          <w:lang w:eastAsia="zh-CN"/>
        </w:rPr>
        <w:t>or based on group-common DCI</w:t>
      </w:r>
      <w:r w:rsidRPr="00F70B87">
        <w:rPr>
          <w:rFonts w:hint="eastAsia"/>
          <w:i/>
          <w:lang w:eastAsia="zh-CN"/>
        </w:rPr>
        <w:t xml:space="preserve"> indication</w:t>
      </w:r>
      <w:r w:rsidRPr="00F70B87">
        <w:rPr>
          <w:i/>
        </w:rPr>
        <w:t>.</w:t>
      </w:r>
      <w:r w:rsidRPr="00F70B87">
        <w:rPr>
          <w:rFonts w:hint="eastAsia"/>
          <w:i/>
          <w:lang w:eastAsia="zh-CN"/>
        </w:rPr>
        <w:t xml:space="preserve"> Increased TPC range compared to Rel-15 may also be considered. Power boosting is not applicable to power limited UEs.</w:t>
      </w:r>
    </w:p>
    <w:p w:rsidR="00F70B87" w:rsidRPr="00BD3091" w:rsidRDefault="00F70B87" w:rsidP="00F70B87"/>
    <w:p w:rsidR="00855F39"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w:t>
      </w:r>
      <w:r w:rsidR="00F70B87">
        <w:rPr>
          <w:rFonts w:eastAsia="MS Mincho"/>
          <w:lang w:val="en-US"/>
        </w:rPr>
        <w:t>remaining aspects of UL PI</w:t>
      </w:r>
      <w:r w:rsidR="00AF500B">
        <w:rPr>
          <w:rFonts w:eastAsia="MS Mincho"/>
          <w:lang w:val="en-US"/>
        </w:rPr>
        <w:t>.</w:t>
      </w:r>
      <w:r w:rsidR="00855F39">
        <w:rPr>
          <w:rFonts w:eastAsia="MS Mincho"/>
          <w:lang w:val="en-US"/>
        </w:rPr>
        <w:t xml:space="preserve">  </w:t>
      </w:r>
    </w:p>
    <w:p w:rsidR="00F912B3" w:rsidRDefault="00855F39"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Discussions</w:t>
      </w:r>
    </w:p>
    <w:p w:rsidR="00A91C99" w:rsidRDefault="00F70B87" w:rsidP="00F70B87">
      <w:pPr>
        <w:pStyle w:val="Heading2"/>
        <w:numPr>
          <w:ilvl w:val="1"/>
          <w:numId w:val="8"/>
        </w:numPr>
        <w:rPr>
          <w:lang w:val="en-US"/>
        </w:rPr>
      </w:pPr>
      <w:r>
        <w:rPr>
          <w:lang w:val="en-US"/>
        </w:rPr>
        <w:t>Grant Based Inter-UE Multiplexing</w:t>
      </w:r>
    </w:p>
    <w:p w:rsidR="00F70B87" w:rsidRDefault="00F70B87" w:rsidP="00F70B87">
      <w:pPr>
        <w:rPr>
          <w:lang w:val="en-US"/>
        </w:rPr>
      </w:pPr>
      <w:r>
        <w:rPr>
          <w:lang w:val="en-US"/>
        </w:rPr>
        <w:fldChar w:fldCharType="begin"/>
      </w:r>
      <w:r>
        <w:rPr>
          <w:lang w:val="en-US"/>
        </w:rPr>
        <w:instrText xml:space="preserve"> REF _Ref525663442 \h </w:instrText>
      </w:r>
      <w:r>
        <w:rPr>
          <w:lang w:val="en-US"/>
        </w:rPr>
      </w:r>
      <w:r>
        <w:rPr>
          <w:lang w:val="en-US"/>
        </w:rPr>
        <w:fldChar w:fldCharType="separate"/>
      </w:r>
      <w:r w:rsidR="00F84B8E">
        <w:t xml:space="preserve">Figure </w:t>
      </w:r>
      <w:r w:rsidR="00F84B8E">
        <w:rPr>
          <w:noProof/>
        </w:rPr>
        <w:t>1</w:t>
      </w:r>
      <w:r>
        <w:rPr>
          <w:lang w:val="en-US"/>
        </w:rPr>
        <w:fldChar w:fldCharType="end"/>
      </w:r>
      <w:r>
        <w:rPr>
          <w:lang w:val="en-US"/>
        </w:rPr>
        <w:t xml:space="preserve"> shows the UL PI monitoring periodicity with an UL PI processing time of </w:t>
      </w:r>
      <w:r w:rsidRPr="00F70B87">
        <w:rPr>
          <w:i/>
          <w:lang w:val="en-US"/>
        </w:rPr>
        <w:t>N</w:t>
      </w:r>
      <w:r w:rsidRPr="00F70B87">
        <w:rPr>
          <w:i/>
          <w:vertAlign w:val="subscript"/>
          <w:lang w:val="en-US"/>
        </w:rPr>
        <w:t>PI</w:t>
      </w:r>
      <w:r>
        <w:rPr>
          <w:lang w:val="en-US"/>
        </w:rPr>
        <w:t xml:space="preserve">, a PUSCH preparation time of </w:t>
      </w:r>
      <w:r w:rsidRPr="00F70B87">
        <w:rPr>
          <w:i/>
          <w:lang w:val="en-US"/>
        </w:rPr>
        <w:t>N</w:t>
      </w:r>
      <w:r w:rsidRPr="00F70B87">
        <w:rPr>
          <w:vertAlign w:val="subscript"/>
          <w:lang w:val="en-US"/>
        </w:rPr>
        <w:t>2</w:t>
      </w:r>
      <w:r>
        <w:rPr>
          <w:lang w:val="en-US"/>
        </w:rPr>
        <w:t xml:space="preserve"> and a PDCCH duration of </w:t>
      </w:r>
      <w:r w:rsidRPr="00F70B87">
        <w:rPr>
          <w:i/>
          <w:lang w:val="en-US"/>
        </w:rPr>
        <w:t>T</w:t>
      </w:r>
      <w:r w:rsidRPr="00F70B87">
        <w:rPr>
          <w:i/>
          <w:vertAlign w:val="subscript"/>
          <w:lang w:val="en-US"/>
        </w:rPr>
        <w:t>U-DCI</w:t>
      </w:r>
      <w:r>
        <w:rPr>
          <w:lang w:val="en-US"/>
        </w:rPr>
        <w:t xml:space="preserve">.  In [1] we showed that the required UL PI monitoring periodicity </w:t>
      </w:r>
      <w:r>
        <w:rPr>
          <w:i/>
        </w:rPr>
        <w:t>P</w:t>
      </w:r>
      <w:r>
        <w:rPr>
          <w:i/>
          <w:vertAlign w:val="subscript"/>
        </w:rPr>
        <w:t>PI</w:t>
      </w:r>
      <w:r>
        <w:t xml:space="preserve"> = </w:t>
      </w:r>
      <w:r>
        <w:rPr>
          <w:i/>
        </w:rPr>
        <w:t>N</w:t>
      </w:r>
      <w:r>
        <w:rPr>
          <w:vertAlign w:val="subscript"/>
        </w:rPr>
        <w:t>2</w:t>
      </w:r>
      <w:r>
        <w:t xml:space="preserve">- </w:t>
      </w:r>
      <w:r>
        <w:rPr>
          <w:i/>
        </w:rPr>
        <w:t>N</w:t>
      </w:r>
      <w:r>
        <w:rPr>
          <w:i/>
          <w:vertAlign w:val="subscript"/>
        </w:rPr>
        <w:t>PI</w:t>
      </w:r>
      <w:r>
        <w:t xml:space="preserve"> + </w:t>
      </w:r>
      <w:r>
        <w:rPr>
          <w:i/>
        </w:rPr>
        <w:t>T</w:t>
      </w:r>
      <w:r>
        <w:rPr>
          <w:i/>
          <w:vertAlign w:val="subscript"/>
        </w:rPr>
        <w:t>U-DCI</w:t>
      </w:r>
      <w:r>
        <w:t xml:space="preserve">, that is, the shorter the UL PI processing time </w:t>
      </w:r>
      <w:r w:rsidRPr="00F70B87">
        <w:rPr>
          <w:i/>
        </w:rPr>
        <w:t>N</w:t>
      </w:r>
      <w:r w:rsidRPr="00F70B87">
        <w:rPr>
          <w:i/>
          <w:vertAlign w:val="subscript"/>
        </w:rPr>
        <w:t>PI</w:t>
      </w:r>
      <w:r>
        <w:t xml:space="preserve"> relative to </w:t>
      </w:r>
      <w:r w:rsidRPr="00F70B87">
        <w:rPr>
          <w:i/>
        </w:rPr>
        <w:t>N</w:t>
      </w:r>
      <w:r w:rsidRPr="00F70B87">
        <w:rPr>
          <w:vertAlign w:val="subscript"/>
        </w:rPr>
        <w:t>2</w:t>
      </w:r>
      <w:r>
        <w:t xml:space="preserve">, the longer the UL PI </w:t>
      </w:r>
      <w:r>
        <w:lastRenderedPageBreak/>
        <w:t>periodicity is required and this would reduce the UL PI monitoring requirement of the eMBB UE which reduce the required complexity for monitoring UL PI.</w:t>
      </w:r>
    </w:p>
    <w:p w:rsidR="00F70B87" w:rsidRDefault="00F70B87" w:rsidP="00F70B87">
      <w:pPr>
        <w:jc w:val="center"/>
        <w:rPr>
          <w:b/>
        </w:rPr>
      </w:pPr>
      <w:r>
        <w:rPr>
          <w:b/>
          <w:noProof/>
          <w:lang w:eastAsia="en-GB"/>
        </w:rPr>
        <w:drawing>
          <wp:inline distT="0" distB="0" distL="0" distR="0">
            <wp:extent cx="5589270" cy="2922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9270" cy="2922270"/>
                    </a:xfrm>
                    <a:prstGeom prst="rect">
                      <a:avLst/>
                    </a:prstGeom>
                    <a:noFill/>
                    <a:ln>
                      <a:noFill/>
                    </a:ln>
                  </pic:spPr>
                </pic:pic>
              </a:graphicData>
            </a:graphic>
          </wp:inline>
        </w:drawing>
      </w:r>
    </w:p>
    <w:p w:rsidR="00F70B87" w:rsidRDefault="00F70B87" w:rsidP="00F70B87">
      <w:pPr>
        <w:pStyle w:val="Caption"/>
        <w:jc w:val="center"/>
        <w:rPr>
          <w:b w:val="0"/>
        </w:rPr>
      </w:pPr>
      <w:bookmarkStart w:id="2" w:name="_Ref525663442"/>
      <w:r>
        <w:t xml:space="preserve">Figure </w:t>
      </w:r>
      <w:r w:rsidR="00005A15">
        <w:rPr>
          <w:noProof/>
        </w:rPr>
        <w:fldChar w:fldCharType="begin"/>
      </w:r>
      <w:r w:rsidR="00005A15">
        <w:rPr>
          <w:noProof/>
        </w:rPr>
        <w:instrText xml:space="preserve"> SEQ Figure \* ARABIC </w:instrText>
      </w:r>
      <w:r w:rsidR="00005A15">
        <w:rPr>
          <w:noProof/>
        </w:rPr>
        <w:fldChar w:fldCharType="separate"/>
      </w:r>
      <w:r w:rsidR="00F84B8E">
        <w:rPr>
          <w:noProof/>
        </w:rPr>
        <w:t>1</w:t>
      </w:r>
      <w:r w:rsidR="00005A15">
        <w:rPr>
          <w:noProof/>
        </w:rPr>
        <w:fldChar w:fldCharType="end"/>
      </w:r>
      <w:bookmarkEnd w:id="2"/>
      <w:r>
        <w:t>: UL PI monitoring periods</w:t>
      </w:r>
    </w:p>
    <w:p w:rsidR="00F70B87" w:rsidRPr="00F70B87" w:rsidRDefault="00F70B87" w:rsidP="00F70B87">
      <w:pPr>
        <w:rPr>
          <w:b/>
          <w:lang w:val="en-US"/>
        </w:rPr>
      </w:pPr>
      <w:r w:rsidRPr="00F70B87">
        <w:rPr>
          <w:b/>
          <w:lang w:val="en-US"/>
        </w:rPr>
        <w:t xml:space="preserve">Observation 1: The faster the UL PI processing time relative to PUSCH preparation time </w:t>
      </w:r>
      <w:r w:rsidRPr="00F70B87">
        <w:rPr>
          <w:b/>
          <w:i/>
          <w:lang w:val="en-US"/>
        </w:rPr>
        <w:t>N</w:t>
      </w:r>
      <w:r w:rsidRPr="00F70B87">
        <w:rPr>
          <w:b/>
          <w:vertAlign w:val="subscript"/>
          <w:lang w:val="en-US"/>
        </w:rPr>
        <w:t>2</w:t>
      </w:r>
      <w:r w:rsidRPr="00F70B87">
        <w:rPr>
          <w:b/>
          <w:lang w:val="en-US"/>
        </w:rPr>
        <w:t>, the longer the UL PI monitoring is required for the eMBB UE and this would reduce the complexity require for UL PI monitoring.</w:t>
      </w:r>
    </w:p>
    <w:p w:rsidR="00F70B87" w:rsidRDefault="00F70B87" w:rsidP="00F70B87">
      <w:pPr>
        <w:rPr>
          <w:lang w:val="en-US"/>
        </w:rPr>
      </w:pPr>
    </w:p>
    <w:p w:rsidR="00F70B87" w:rsidRDefault="00395BCB" w:rsidP="00F70B87">
      <w:pPr>
        <w:rPr>
          <w:lang w:val="en-US"/>
        </w:rPr>
      </w:pPr>
      <w:r>
        <w:rPr>
          <w:lang w:val="en-US"/>
        </w:rPr>
        <w:t xml:space="preserve">Therefore to reduce any additional complexity for the eMBB UE to support UL PI, it is beneficial that the UL PI can be </w:t>
      </w:r>
      <w:r w:rsidR="002E65CC">
        <w:rPr>
          <w:lang w:val="en-US"/>
        </w:rPr>
        <w:t>decoded very quickly with minimum complexity.  One way is to use a sequence for the UL PI, which can be detected with a simple correlator receiver that is much faster than having to blind decode multiple PDCCH candidates.  In [2] it is showed that the detection of a sequence requires only 10 µs which is less than a symbol in 30 kHz and 60 kHz SCS.  The UE is already equipped with hardware to detect RS and so there is no additional hardware cost to perform detection of an UL PI sequence.</w:t>
      </w:r>
      <w:r w:rsidR="00F84B8E">
        <w:rPr>
          <w:lang w:val="en-US"/>
        </w:rPr>
        <w:t xml:space="preserve">  It is also shown that the sequence based UL PI is far more reliable than PDCCH based UL PI, where the sequence based UL PI can have 3-5 dB performance gain over a PDCCH based UL PI [2].</w:t>
      </w:r>
    </w:p>
    <w:p w:rsidR="002E65CC" w:rsidRDefault="002E65CC" w:rsidP="00F70B87">
      <w:pPr>
        <w:rPr>
          <w:b/>
          <w:lang w:val="en-US"/>
        </w:rPr>
      </w:pPr>
      <w:r w:rsidRPr="002E65CC">
        <w:rPr>
          <w:b/>
          <w:lang w:val="en-US"/>
        </w:rPr>
        <w:t>Observation 2: A sequence based UL PI can be detected in a fraction of a symbol, which is much faster than blind decoding of PDCCH based UL PI.</w:t>
      </w:r>
    </w:p>
    <w:p w:rsidR="00F84B8E" w:rsidRPr="002E65CC" w:rsidRDefault="00F84B8E" w:rsidP="00F70B87">
      <w:pPr>
        <w:rPr>
          <w:b/>
          <w:lang w:val="en-US"/>
        </w:rPr>
      </w:pPr>
      <w:r>
        <w:rPr>
          <w:b/>
          <w:lang w:val="en-US"/>
        </w:rPr>
        <w:t xml:space="preserve">Observation 3: A sequence based UL PI is far more </w:t>
      </w:r>
      <w:r w:rsidR="00A7365B">
        <w:rPr>
          <w:b/>
          <w:lang w:val="en-US"/>
        </w:rPr>
        <w:t xml:space="preserve">reliable than a PDCCH based UL </w:t>
      </w:r>
      <w:r>
        <w:rPr>
          <w:b/>
          <w:lang w:val="en-US"/>
        </w:rPr>
        <w:t>P</w:t>
      </w:r>
      <w:r w:rsidR="00A7365B">
        <w:rPr>
          <w:b/>
          <w:lang w:val="en-US"/>
        </w:rPr>
        <w:t>I</w:t>
      </w:r>
      <w:r>
        <w:rPr>
          <w:b/>
          <w:lang w:val="en-US"/>
        </w:rPr>
        <w:t>.</w:t>
      </w:r>
    </w:p>
    <w:p w:rsidR="00F70B87" w:rsidRDefault="00F70B87" w:rsidP="00F70B87">
      <w:pPr>
        <w:rPr>
          <w:lang w:val="en-US"/>
        </w:rPr>
      </w:pPr>
    </w:p>
    <w:p w:rsidR="002E65CC" w:rsidRDefault="002E65CC" w:rsidP="00F70B87">
      <w:pPr>
        <w:rPr>
          <w:lang w:val="en-US"/>
        </w:rPr>
      </w:pPr>
      <w:r>
        <w:rPr>
          <w:lang w:val="en-US"/>
        </w:rPr>
        <w:t xml:space="preserve">One of the concerns raised during the SI is the increased complexity for the eMBB UE to support UL PI especially the increase in PDCCH blind decode rate.  If the UL PI has similar processing time as </w:t>
      </w:r>
      <w:r w:rsidRPr="002E65CC">
        <w:rPr>
          <w:i/>
          <w:lang w:val="en-US"/>
        </w:rPr>
        <w:t>N</w:t>
      </w:r>
      <w:r w:rsidRPr="002E65CC">
        <w:rPr>
          <w:vertAlign w:val="subscript"/>
          <w:lang w:val="en-US"/>
        </w:rPr>
        <w:t>2</w:t>
      </w:r>
      <w:r>
        <w:rPr>
          <w:lang w:val="en-US"/>
        </w:rPr>
        <w:t>, the UL PI periodicity would be equals to that of URLLC PDCCH monitoring period which can be every 2 symbols.  Hence</w:t>
      </w:r>
      <w:r w:rsidR="00694A05">
        <w:rPr>
          <w:lang w:val="en-US"/>
        </w:rPr>
        <w:t>, using a sequence based UL PI instead of PDCCH based UL PI would not increase the eMBB UE’s complexity in monitoring PDCCH.  Since the sequence is far less complex to detect than PDCCH, the eMBB UE can afford a faster UL PI monitoring rate.</w:t>
      </w:r>
    </w:p>
    <w:p w:rsidR="00694A05" w:rsidRPr="00694A05" w:rsidRDefault="00694A05" w:rsidP="00F70B87">
      <w:pPr>
        <w:rPr>
          <w:b/>
          <w:lang w:val="en-US"/>
        </w:rPr>
      </w:pPr>
      <w:r w:rsidRPr="00694A05">
        <w:rPr>
          <w:b/>
          <w:lang w:val="en-US"/>
        </w:rPr>
        <w:t xml:space="preserve">Observation </w:t>
      </w:r>
      <w:r w:rsidR="00F84B8E">
        <w:rPr>
          <w:b/>
          <w:lang w:val="en-US"/>
        </w:rPr>
        <w:t>4</w:t>
      </w:r>
      <w:r w:rsidRPr="00694A05">
        <w:rPr>
          <w:b/>
          <w:lang w:val="en-US"/>
        </w:rPr>
        <w:t>: A sequence based UL PI will not increase the PDCCH blind decoding rate of the eMBB UE.</w:t>
      </w:r>
    </w:p>
    <w:p w:rsidR="0048511E" w:rsidRDefault="0048511E" w:rsidP="0041482F">
      <w:pPr>
        <w:rPr>
          <w:rFonts w:eastAsia="MS Mincho"/>
          <w:lang w:val="en-US"/>
        </w:rPr>
      </w:pPr>
    </w:p>
    <w:p w:rsidR="00694A05" w:rsidRDefault="00694A05" w:rsidP="0041482F">
      <w:pPr>
        <w:rPr>
          <w:rFonts w:eastAsia="MS Mincho"/>
          <w:lang w:val="en-US"/>
        </w:rPr>
      </w:pPr>
      <w:r>
        <w:rPr>
          <w:rFonts w:eastAsia="MS Mincho"/>
          <w:lang w:val="en-US"/>
        </w:rPr>
        <w:t>Hence, given the low complexity in using a sequence and the quick processing time required, it is makes sense to use a sequence based UL PI than a PDCCH based UL PI.</w:t>
      </w:r>
    </w:p>
    <w:p w:rsidR="00694A05" w:rsidRPr="00694A05" w:rsidRDefault="00694A05" w:rsidP="0041482F">
      <w:pPr>
        <w:rPr>
          <w:rFonts w:eastAsia="MS Mincho"/>
          <w:b/>
          <w:lang w:val="en-US"/>
        </w:rPr>
      </w:pPr>
      <w:r w:rsidRPr="00694A05">
        <w:rPr>
          <w:rFonts w:eastAsia="MS Mincho"/>
          <w:b/>
          <w:lang w:val="en-US"/>
        </w:rPr>
        <w:t>Proposal 1: The UL PI is transmitted using a sequence.</w:t>
      </w:r>
    </w:p>
    <w:p w:rsidR="00694A05" w:rsidRDefault="00694A05" w:rsidP="0041482F">
      <w:pPr>
        <w:rPr>
          <w:rFonts w:eastAsia="MS Mincho"/>
          <w:lang w:val="en-US"/>
        </w:rPr>
      </w:pPr>
    </w:p>
    <w:p w:rsidR="00694A05" w:rsidRDefault="00694A05" w:rsidP="0041482F">
      <w:pPr>
        <w:rPr>
          <w:rFonts w:eastAsia="MS Mincho"/>
          <w:lang w:val="en-US"/>
        </w:rPr>
      </w:pPr>
      <w:r>
        <w:rPr>
          <w:rFonts w:eastAsia="MS Mincho"/>
          <w:lang w:val="en-US"/>
        </w:rPr>
        <w:t xml:space="preserve">The rationale for using a GC-DCI to carry the DL PI is because an URLLC transmission is expected to occupy a large frequency bandwidth and hence it will affect multiple eMBB PDSCHs.  Therefore, it is more efficient to use GC-DCI to address multiple eMBB UE.  However, it was noted that </w:t>
      </w:r>
      <w:r w:rsidR="00085FEE">
        <w:rPr>
          <w:rFonts w:eastAsia="MS Mincho"/>
          <w:lang w:val="en-US"/>
        </w:rPr>
        <w:t>DL PI using GC-DCI suffers from “ghost pre-emption” [3] since the granularity that can be addressed by the DL PI is coarse and hence would lead to eMBB UE being wrongly accused of being pre-empted which may cause unnecessary retransmission.</w:t>
      </w:r>
      <w:r w:rsidR="009C6A15">
        <w:rPr>
          <w:rFonts w:eastAsia="MS Mincho"/>
          <w:lang w:val="en-US"/>
        </w:rPr>
        <w:t xml:space="preserve">  For example in </w:t>
      </w:r>
      <w:r w:rsidR="009C6A15">
        <w:rPr>
          <w:rFonts w:eastAsia="MS Mincho"/>
          <w:lang w:val="en-US"/>
        </w:rPr>
        <w:fldChar w:fldCharType="begin"/>
      </w:r>
      <w:r w:rsidR="009C6A15">
        <w:rPr>
          <w:rFonts w:eastAsia="MS Mincho"/>
          <w:lang w:val="en-US"/>
        </w:rPr>
        <w:instrText xml:space="preserve"> REF _Ref494460583 \h </w:instrText>
      </w:r>
      <w:r w:rsidR="009C6A15">
        <w:rPr>
          <w:rFonts w:eastAsia="MS Mincho"/>
          <w:lang w:val="en-US"/>
        </w:rPr>
      </w:r>
      <w:r w:rsidR="009C6A15">
        <w:rPr>
          <w:rFonts w:eastAsia="MS Mincho"/>
          <w:lang w:val="en-US"/>
        </w:rPr>
        <w:fldChar w:fldCharType="separate"/>
      </w:r>
      <w:r w:rsidR="00F84B8E">
        <w:t xml:space="preserve">Figure </w:t>
      </w:r>
      <w:r w:rsidR="00F84B8E">
        <w:rPr>
          <w:noProof/>
        </w:rPr>
        <w:t>2</w:t>
      </w:r>
      <w:r w:rsidR="009C6A15">
        <w:rPr>
          <w:rFonts w:eastAsia="MS Mincho"/>
          <w:lang w:val="en-US"/>
        </w:rPr>
        <w:fldChar w:fldCharType="end"/>
      </w:r>
      <w:r w:rsidR="009C6A15">
        <w:rPr>
          <w:rFonts w:eastAsia="MS Mincho"/>
          <w:lang w:val="en-US"/>
        </w:rPr>
        <w:t xml:space="preserve">, the DL PI pre-emption granularity in the frequency domain is the entire BWP.  If the URLLC occupies only a fraction of the frequency, the entire BWP is indicated as being pre-empted.  In </w:t>
      </w:r>
      <w:r w:rsidR="009C6A15">
        <w:rPr>
          <w:rFonts w:eastAsia="MS Mincho"/>
          <w:lang w:val="en-US"/>
        </w:rPr>
        <w:fldChar w:fldCharType="begin"/>
      </w:r>
      <w:r w:rsidR="009C6A15">
        <w:rPr>
          <w:rFonts w:eastAsia="MS Mincho"/>
          <w:lang w:val="en-US"/>
        </w:rPr>
        <w:instrText xml:space="preserve"> REF _Ref494460583 \h </w:instrText>
      </w:r>
      <w:r w:rsidR="009C6A15">
        <w:rPr>
          <w:rFonts w:eastAsia="MS Mincho"/>
          <w:lang w:val="en-US"/>
        </w:rPr>
      </w:r>
      <w:r w:rsidR="009C6A15">
        <w:rPr>
          <w:rFonts w:eastAsia="MS Mincho"/>
          <w:lang w:val="en-US"/>
        </w:rPr>
        <w:fldChar w:fldCharType="separate"/>
      </w:r>
      <w:r w:rsidR="00F84B8E">
        <w:t xml:space="preserve">Figure </w:t>
      </w:r>
      <w:r w:rsidR="00F84B8E">
        <w:rPr>
          <w:noProof/>
        </w:rPr>
        <w:t>2</w:t>
      </w:r>
      <w:r w:rsidR="009C6A15">
        <w:rPr>
          <w:rFonts w:eastAsia="MS Mincho"/>
          <w:lang w:val="en-US"/>
        </w:rPr>
        <w:fldChar w:fldCharType="end"/>
      </w:r>
      <w:r w:rsidR="009C6A15">
        <w:rPr>
          <w:rFonts w:eastAsia="MS Mincho"/>
          <w:lang w:val="en-US"/>
        </w:rPr>
        <w:t>, only UE1 is being pre-empted but due to the use of GC-DCI resulting in a coarse granularity, UE2 which is not being pre-empted is haunted by ghost pre-emption.</w:t>
      </w:r>
    </w:p>
    <w:p w:rsidR="009C6A15" w:rsidRDefault="009C6A15" w:rsidP="009C6A15">
      <w:pPr>
        <w:jc w:val="center"/>
        <w:rPr>
          <w:lang w:val="en-US"/>
        </w:rPr>
      </w:pPr>
      <w:r>
        <w:rPr>
          <w:noProof/>
          <w:lang w:eastAsia="en-GB"/>
        </w:rPr>
        <w:drawing>
          <wp:inline distT="0" distB="0" distL="0" distR="0" wp14:anchorId="5E540ED3" wp14:editId="59C9AFE8">
            <wp:extent cx="3169920" cy="281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9920" cy="2810510"/>
                    </a:xfrm>
                    <a:prstGeom prst="rect">
                      <a:avLst/>
                    </a:prstGeom>
                    <a:noFill/>
                  </pic:spPr>
                </pic:pic>
              </a:graphicData>
            </a:graphic>
          </wp:inline>
        </w:drawing>
      </w:r>
    </w:p>
    <w:p w:rsidR="009C6A15" w:rsidRDefault="009C6A15" w:rsidP="009C6A15">
      <w:pPr>
        <w:pStyle w:val="Caption"/>
        <w:jc w:val="center"/>
        <w:rPr>
          <w:lang w:val="en-US"/>
        </w:rPr>
      </w:pPr>
      <w:bookmarkStart w:id="3" w:name="_Ref494460583"/>
      <w:r>
        <w:t xml:space="preserve">Figure </w:t>
      </w:r>
      <w:r w:rsidR="00005A15">
        <w:rPr>
          <w:noProof/>
        </w:rPr>
        <w:fldChar w:fldCharType="begin"/>
      </w:r>
      <w:r w:rsidR="00005A15">
        <w:rPr>
          <w:noProof/>
        </w:rPr>
        <w:instrText xml:space="preserve"> SEQ Fi</w:instrText>
      </w:r>
      <w:r w:rsidR="00005A15">
        <w:rPr>
          <w:noProof/>
        </w:rPr>
        <w:instrText xml:space="preserve">gure \* ARABIC </w:instrText>
      </w:r>
      <w:r w:rsidR="00005A15">
        <w:rPr>
          <w:noProof/>
        </w:rPr>
        <w:fldChar w:fldCharType="separate"/>
      </w:r>
      <w:r w:rsidR="00F84B8E">
        <w:rPr>
          <w:noProof/>
        </w:rPr>
        <w:t>2</w:t>
      </w:r>
      <w:r w:rsidR="00005A15">
        <w:rPr>
          <w:noProof/>
        </w:rPr>
        <w:fldChar w:fldCharType="end"/>
      </w:r>
      <w:bookmarkEnd w:id="3"/>
      <w:r>
        <w:t>: Ghost pre-emption due to PI exaggeration of pre-empted resources.</w:t>
      </w:r>
    </w:p>
    <w:p w:rsidR="009C6A15" w:rsidRDefault="009C6A15" w:rsidP="0041482F">
      <w:pPr>
        <w:rPr>
          <w:rFonts w:eastAsia="MS Mincho"/>
          <w:lang w:val="en-US"/>
        </w:rPr>
      </w:pPr>
    </w:p>
    <w:p w:rsidR="00085FEE" w:rsidRDefault="00085FEE" w:rsidP="0041482F">
      <w:pPr>
        <w:rPr>
          <w:rFonts w:eastAsia="MS Mincho"/>
          <w:b/>
          <w:lang w:val="en-US"/>
        </w:rPr>
      </w:pPr>
      <w:r w:rsidRPr="00085FEE">
        <w:rPr>
          <w:rFonts w:eastAsia="MS Mincho"/>
          <w:b/>
          <w:lang w:val="en-US"/>
        </w:rPr>
        <w:t xml:space="preserve">Observation </w:t>
      </w:r>
      <w:r w:rsidR="00F84B8E">
        <w:rPr>
          <w:rFonts w:eastAsia="MS Mincho"/>
          <w:b/>
          <w:lang w:val="en-US"/>
        </w:rPr>
        <w:t>5</w:t>
      </w:r>
      <w:r w:rsidRPr="00085FEE">
        <w:rPr>
          <w:rFonts w:eastAsia="MS Mincho"/>
          <w:b/>
          <w:lang w:val="en-US"/>
        </w:rPr>
        <w:t>: Pre-emption indicator targeting a group of UEs (e.g. carried by a GC-DCI) can lead to “ghost pre-emption” where a victim eMBB UE is wrongly indicated to have been pre-empted leading to unnecessary retransmission.</w:t>
      </w:r>
    </w:p>
    <w:p w:rsidR="00085FEE" w:rsidRDefault="00085FEE" w:rsidP="0041482F">
      <w:pPr>
        <w:rPr>
          <w:rFonts w:eastAsia="MS Mincho"/>
          <w:b/>
          <w:lang w:val="en-US"/>
        </w:rPr>
      </w:pPr>
    </w:p>
    <w:p w:rsidR="00085FEE" w:rsidRDefault="006511E4" w:rsidP="0041482F">
      <w:pPr>
        <w:rPr>
          <w:rFonts w:eastAsia="MS Mincho"/>
          <w:lang w:val="en-US"/>
        </w:rPr>
      </w:pPr>
      <w:r>
        <w:rPr>
          <w:rFonts w:eastAsia="MS Mincho"/>
          <w:lang w:val="en-US"/>
        </w:rPr>
        <w:t xml:space="preserve">Unlike the downlink, in the uplink, it is far more effective to transmit a PUSCH using as few PRBs as possible in order to increase its PSD (Power Spectral Density) rather than spread the PUSCH transmission over many PRB.  This has already been proven in Rel-15 eMTC under the sub-PRB feature.  Hence, it is therefore unlikely that an uplink URLLC would </w:t>
      </w:r>
      <w:r w:rsidR="004B09B0">
        <w:rPr>
          <w:rFonts w:eastAsia="MS Mincho"/>
          <w:lang w:val="en-US"/>
        </w:rPr>
        <w:t>pre-empt multiple eMBB PUSCHs and the rationale to use a Group Common based indicator is no longer valid.  It is therefore more beneficial to use a UE specific UL PI which would not suffer from ghost pre-emption and is far easier to design, since technically only 1 bit of information is required.</w:t>
      </w:r>
    </w:p>
    <w:p w:rsidR="004B09B0" w:rsidRPr="004B09B0" w:rsidRDefault="004B09B0" w:rsidP="0041482F">
      <w:pPr>
        <w:rPr>
          <w:rFonts w:eastAsia="MS Mincho"/>
          <w:b/>
          <w:lang w:val="en-US"/>
        </w:rPr>
      </w:pPr>
      <w:r w:rsidRPr="004B09B0">
        <w:rPr>
          <w:rFonts w:eastAsia="MS Mincho"/>
          <w:b/>
          <w:lang w:val="en-US"/>
        </w:rPr>
        <w:t xml:space="preserve">Observation </w:t>
      </w:r>
      <w:r w:rsidR="00F84B8E">
        <w:rPr>
          <w:rFonts w:eastAsia="MS Mincho"/>
          <w:b/>
          <w:lang w:val="en-US"/>
        </w:rPr>
        <w:t>6</w:t>
      </w:r>
      <w:r w:rsidRPr="004B09B0">
        <w:rPr>
          <w:rFonts w:eastAsia="MS Mincho"/>
          <w:b/>
          <w:lang w:val="en-US"/>
        </w:rPr>
        <w:t xml:space="preserve">: Unlike in downlink URLLC (PDSCH), it is far more efficient and reliable to transmit the URLLC PUSCH using as few PRBs as possible to boost the PSD (Power Spectral Density) than to spread the PUSCH over numerous PRB. </w:t>
      </w:r>
    </w:p>
    <w:p w:rsidR="004B09B0" w:rsidRPr="004B09B0" w:rsidRDefault="004B09B0" w:rsidP="0041482F">
      <w:pPr>
        <w:rPr>
          <w:rFonts w:eastAsia="MS Mincho"/>
          <w:b/>
          <w:lang w:val="en-US"/>
        </w:rPr>
      </w:pPr>
      <w:r w:rsidRPr="004B09B0">
        <w:rPr>
          <w:rFonts w:eastAsia="MS Mincho"/>
          <w:b/>
          <w:lang w:val="en-US"/>
        </w:rPr>
        <w:t xml:space="preserve">Observation </w:t>
      </w:r>
      <w:r w:rsidR="00F84B8E">
        <w:rPr>
          <w:rFonts w:eastAsia="MS Mincho"/>
          <w:b/>
          <w:lang w:val="en-US"/>
        </w:rPr>
        <w:t>7</w:t>
      </w:r>
      <w:r w:rsidRPr="004B09B0">
        <w:rPr>
          <w:rFonts w:eastAsia="MS Mincho"/>
          <w:b/>
          <w:lang w:val="en-US"/>
        </w:rPr>
        <w:t>: Unlike in downlink URLLC (PDSCH) which occupies a large frequency bandwidth, the uplink URRLC (PUSCH) is likely to occupy narrower frequency bandwidth and therefore unlikely to pre-empt multiple eMBB PUSCH.</w:t>
      </w:r>
    </w:p>
    <w:p w:rsidR="004B09B0" w:rsidRPr="004B09B0" w:rsidRDefault="004B09B0" w:rsidP="0041482F">
      <w:pPr>
        <w:rPr>
          <w:rFonts w:eastAsia="MS Mincho"/>
          <w:b/>
          <w:lang w:val="en-US"/>
        </w:rPr>
      </w:pPr>
      <w:r w:rsidRPr="004B09B0">
        <w:rPr>
          <w:rFonts w:eastAsia="MS Mincho"/>
          <w:b/>
          <w:lang w:val="en-US"/>
        </w:rPr>
        <w:t>Proposal 2: The UL PI is UE specific.</w:t>
      </w:r>
    </w:p>
    <w:p w:rsidR="004B09B0" w:rsidRPr="00085FEE" w:rsidRDefault="004B09B0" w:rsidP="0041482F">
      <w:pPr>
        <w:rPr>
          <w:rFonts w:eastAsia="MS Mincho"/>
          <w:lang w:val="en-US"/>
        </w:rPr>
      </w:pPr>
    </w:p>
    <w:p w:rsidR="00694A05" w:rsidRDefault="004B09B0" w:rsidP="0041482F">
      <w:pPr>
        <w:rPr>
          <w:rFonts w:eastAsia="MS Mincho"/>
          <w:lang w:val="en-US"/>
        </w:rPr>
      </w:pPr>
      <w:r>
        <w:rPr>
          <w:rFonts w:eastAsia="MS Mincho"/>
          <w:lang w:val="en-US"/>
        </w:rPr>
        <w:t xml:space="preserve">The UL PI needs only carry a single bit to indicate whether the PUSCH is pre-empted or not and if pre-empted the victim eMBB UE can drop the entire PUSCH or a pre-defined time window of the PUSCH.  The UL PI can </w:t>
      </w:r>
      <w:r>
        <w:rPr>
          <w:rFonts w:eastAsia="MS Mincho"/>
          <w:lang w:val="en-US"/>
        </w:rPr>
        <w:lastRenderedPageBreak/>
        <w:t>therefore follow a similar mechanism as WUS (Wake Up Signal) where the presence of the UL PI sequence means the eMBB PUSCH is pre-empted and the absence of the UL PI sequence means there is no pre-emption.</w:t>
      </w:r>
    </w:p>
    <w:p w:rsidR="004B09B0" w:rsidRPr="00F84B8E" w:rsidRDefault="004B09B0" w:rsidP="0041482F">
      <w:pPr>
        <w:rPr>
          <w:rFonts w:eastAsia="MS Mincho"/>
          <w:b/>
          <w:lang w:val="en-US"/>
        </w:rPr>
      </w:pPr>
      <w:r w:rsidRPr="00F84B8E">
        <w:rPr>
          <w:rFonts w:eastAsia="MS Mincho"/>
          <w:b/>
          <w:lang w:val="en-US"/>
        </w:rPr>
        <w:t xml:space="preserve">Proposal 3: </w:t>
      </w:r>
      <w:r w:rsidR="00F84B8E" w:rsidRPr="00F84B8E">
        <w:rPr>
          <w:rFonts w:eastAsia="MS Mincho"/>
          <w:b/>
          <w:lang w:val="en-US"/>
        </w:rPr>
        <w:t>For an eMBB UE monitoring UL PI, a presence of the UL PI sequence means the corresponding eMBB PUSCH is pre-empted and an absence of the UL PI sequence means there is no pre-emption.</w:t>
      </w:r>
    </w:p>
    <w:p w:rsidR="00F84B8E" w:rsidRPr="00F84B8E" w:rsidRDefault="00F84B8E" w:rsidP="0041482F">
      <w:pPr>
        <w:rPr>
          <w:rFonts w:eastAsia="MS Mincho"/>
          <w:b/>
          <w:lang w:val="en-US"/>
        </w:rPr>
      </w:pPr>
      <w:r w:rsidRPr="00F84B8E">
        <w:rPr>
          <w:rFonts w:eastAsia="MS Mincho"/>
          <w:b/>
          <w:lang w:val="en-US"/>
        </w:rPr>
        <w:t>Proposal 4: When the eMBB UE PUSCH is indicated as being pre-empted the UE drops the PUSCH transmission or a pre-defined time section of the PUSCH transmission.</w:t>
      </w:r>
    </w:p>
    <w:p w:rsidR="004B09B0" w:rsidRDefault="004B09B0" w:rsidP="0041482F">
      <w:pPr>
        <w:rPr>
          <w:rFonts w:eastAsia="MS Mincho"/>
          <w:lang w:val="en-US"/>
        </w:rPr>
      </w:pPr>
    </w:p>
    <w:p w:rsidR="00F84B8E" w:rsidRDefault="00F84B8E" w:rsidP="00F84B8E">
      <w:pPr>
        <w:pStyle w:val="Heading2"/>
        <w:numPr>
          <w:ilvl w:val="1"/>
          <w:numId w:val="8"/>
        </w:numPr>
        <w:rPr>
          <w:lang w:val="en-US"/>
        </w:rPr>
      </w:pPr>
      <w:r>
        <w:rPr>
          <w:lang w:val="en-US"/>
        </w:rPr>
        <w:t>Grant Free Inter-UE Multiplexing</w:t>
      </w:r>
    </w:p>
    <w:p w:rsidR="00F84B8E" w:rsidRDefault="00F84B8E" w:rsidP="00F84B8E">
      <w:pPr>
        <w:rPr>
          <w:lang w:val="en-US"/>
        </w:rPr>
      </w:pPr>
      <w:r>
        <w:rPr>
          <w:lang w:val="en-US"/>
        </w:rPr>
        <w:t>The gNB may schedule an eMBB UE such that some of its PUSCH transmission occupies grant free resources (i.e. configured resources) that can be used for URLLC transmissions. Since the gNB does not dynamically schedule the URLLC UE in grant free resources, an UL PI to cancel an eMBB PUSCH that occupies some of the grant free resources is therefore not effective.</w:t>
      </w:r>
    </w:p>
    <w:p w:rsidR="00F84B8E" w:rsidRDefault="00F84B8E" w:rsidP="00F84B8E">
      <w:pPr>
        <w:rPr>
          <w:rFonts w:eastAsia="MS Mincho"/>
          <w:lang w:val="en-US"/>
        </w:rPr>
      </w:pPr>
      <w:r>
        <w:rPr>
          <w:lang w:val="en-US"/>
        </w:rPr>
        <w:t xml:space="preserve">In [4], we proposed that when an eMBB transmission overlaps grant free resources, the gNB can indicate to the eMBB UE to transmit its PUSCH in a DTX manner as shown in </w:t>
      </w:r>
      <w:r>
        <w:rPr>
          <w:lang w:val="en-US"/>
        </w:rPr>
        <w:fldChar w:fldCharType="begin"/>
      </w:r>
      <w:r>
        <w:rPr>
          <w:lang w:val="en-US"/>
        </w:rPr>
        <w:instrText xml:space="preserve"> REF _Ref506397079 \h </w:instrText>
      </w:r>
      <w:r>
        <w:rPr>
          <w:lang w:val="en-US"/>
        </w:rPr>
      </w:r>
      <w:r>
        <w:rPr>
          <w:lang w:val="en-US"/>
        </w:rPr>
        <w:fldChar w:fldCharType="separate"/>
      </w:r>
      <w:r>
        <w:t xml:space="preserve">Figure </w:t>
      </w:r>
      <w:r>
        <w:rPr>
          <w:noProof/>
        </w:rPr>
        <w:t>3</w:t>
      </w:r>
      <w:r>
        <w:rPr>
          <w:lang w:val="en-US"/>
        </w:rPr>
        <w:fldChar w:fldCharType="end"/>
      </w:r>
      <w:r>
        <w:rPr>
          <w:lang w:val="en-US"/>
        </w:rPr>
        <w:t xml:space="preserve">.  Here, </w:t>
      </w:r>
      <w:r>
        <w:rPr>
          <w:rFonts w:eastAsia="MS Mincho"/>
          <w:lang w:val="en-US"/>
        </w:rPr>
        <w:t xml:space="preserve">an UL grant is transmitted to the UE at </w:t>
      </w:r>
      <w:r>
        <w:rPr>
          <w:rFonts w:eastAsia="MS Mincho"/>
          <w:i/>
          <w:lang w:val="en-US"/>
        </w:rPr>
        <w:t>t</w:t>
      </w:r>
      <w:r>
        <w:rPr>
          <w:rFonts w:eastAsia="MS Mincho"/>
          <w:vertAlign w:val="subscript"/>
          <w:lang w:val="en-US"/>
        </w:rPr>
        <w:t>0</w:t>
      </w:r>
      <w:r>
        <w:rPr>
          <w:rFonts w:eastAsia="MS Mincho"/>
          <w:lang w:val="en-US"/>
        </w:rPr>
        <w:t xml:space="preserve"> to schedule an eMBB PUSCH transmission between time </w:t>
      </w:r>
      <w:r>
        <w:rPr>
          <w:rFonts w:eastAsia="MS Mincho"/>
          <w:i/>
          <w:lang w:val="en-US"/>
        </w:rPr>
        <w:t>t</w:t>
      </w:r>
      <w:r>
        <w:rPr>
          <w:rFonts w:eastAsia="MS Mincho"/>
          <w:vertAlign w:val="subscript"/>
          <w:lang w:val="en-US"/>
        </w:rPr>
        <w:t>2</w:t>
      </w:r>
      <w:r>
        <w:rPr>
          <w:rFonts w:eastAsia="MS Mincho"/>
          <w:lang w:val="en-US"/>
        </w:rPr>
        <w:t xml:space="preserve"> and </w:t>
      </w:r>
      <w:r>
        <w:rPr>
          <w:rFonts w:eastAsia="MS Mincho"/>
          <w:i/>
          <w:lang w:val="en-US"/>
        </w:rPr>
        <w:t>t</w:t>
      </w:r>
      <w:r>
        <w:rPr>
          <w:rFonts w:eastAsia="MS Mincho"/>
          <w:vertAlign w:val="subscript"/>
          <w:lang w:val="en-US"/>
        </w:rPr>
        <w:t>9</w:t>
      </w:r>
      <w:r>
        <w:rPr>
          <w:rFonts w:eastAsia="MS Mincho"/>
          <w:lang w:val="en-US"/>
        </w:rPr>
        <w:t xml:space="preserve"> thereby overlapping some of the uplink grant free resources.  Here the eMBB data is transmitted in a DTX (discontinuous transmission) manner.  Between time </w:t>
      </w:r>
      <w:r>
        <w:rPr>
          <w:rFonts w:eastAsia="MS Mincho"/>
          <w:i/>
          <w:lang w:val="en-US"/>
        </w:rPr>
        <w:t>t</w:t>
      </w:r>
      <w:r>
        <w:rPr>
          <w:rFonts w:eastAsia="MS Mincho"/>
          <w:vertAlign w:val="subscript"/>
          <w:lang w:val="en-US"/>
        </w:rPr>
        <w:t>3</w:t>
      </w:r>
      <w:r>
        <w:rPr>
          <w:rFonts w:eastAsia="MS Mincho"/>
          <w:lang w:val="en-US"/>
        </w:rPr>
        <w:t xml:space="preserve"> and </w:t>
      </w:r>
      <w:r>
        <w:rPr>
          <w:rFonts w:eastAsia="MS Mincho"/>
          <w:i/>
          <w:lang w:val="en-US"/>
        </w:rPr>
        <w:t>t</w:t>
      </w:r>
      <w:r>
        <w:rPr>
          <w:rFonts w:eastAsia="MS Mincho"/>
          <w:vertAlign w:val="subscript"/>
          <w:lang w:val="en-US"/>
        </w:rPr>
        <w:t>5</w:t>
      </w:r>
      <w:r>
        <w:rPr>
          <w:rFonts w:eastAsia="MS Mincho"/>
          <w:lang w:val="en-US"/>
        </w:rPr>
        <w:t>, UE2 transmits a series of URLLC repetitions using uplink grant free resources.  Since UE1’s eMBB data is transmitted in a DTX manner, some of UE2’s URLLC repetitions would not be interfered with by UE1’s eMBB transmission, thereby improving the reliability of UE2’s URLLC transmission.  It should be appreciated that DTX transmission is only used when the eMBB transmission overlaps grant free resources.  The DTX transmission can be indicated by the gNB in the UL grant or the UE implicitly transmits in a DTX manner whenever the eMBB overlaps grant free resources</w:t>
      </w:r>
    </w:p>
    <w:p w:rsidR="00F84B8E" w:rsidRDefault="00F84B8E" w:rsidP="00F84B8E">
      <w:pPr>
        <w:jc w:val="center"/>
        <w:rPr>
          <w:lang w:val="en-US"/>
        </w:rPr>
      </w:pPr>
    </w:p>
    <w:p w:rsidR="00F84B8E" w:rsidRDefault="00F84B8E" w:rsidP="00F84B8E">
      <w:pPr>
        <w:jc w:val="center"/>
        <w:rPr>
          <w:rFonts w:eastAsia="MS Mincho"/>
          <w:lang w:val="en-US"/>
        </w:rPr>
      </w:pPr>
      <w:r>
        <w:rPr>
          <w:rFonts w:eastAsia="MS Mincho"/>
          <w:noProof/>
          <w:lang w:eastAsia="en-GB"/>
        </w:rPr>
        <w:drawing>
          <wp:inline distT="0" distB="0" distL="0" distR="0">
            <wp:extent cx="4091940" cy="31661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1940" cy="3166110"/>
                    </a:xfrm>
                    <a:prstGeom prst="rect">
                      <a:avLst/>
                    </a:prstGeom>
                    <a:noFill/>
                    <a:ln>
                      <a:noFill/>
                    </a:ln>
                  </pic:spPr>
                </pic:pic>
              </a:graphicData>
            </a:graphic>
          </wp:inline>
        </w:drawing>
      </w:r>
    </w:p>
    <w:p w:rsidR="00F84B8E" w:rsidRDefault="00F84B8E" w:rsidP="00F84B8E">
      <w:pPr>
        <w:pStyle w:val="Caption"/>
        <w:jc w:val="center"/>
      </w:pPr>
      <w:bookmarkStart w:id="4" w:name="_Ref506397079"/>
      <w:r>
        <w:t xml:space="preserve">Figure </w:t>
      </w:r>
      <w:r>
        <w:fldChar w:fldCharType="begin"/>
      </w:r>
      <w:r>
        <w:rPr>
          <w:noProof/>
        </w:rPr>
        <w:instrText xml:space="preserve"> SEQ Figure \* ARABIC </w:instrText>
      </w:r>
      <w:r>
        <w:fldChar w:fldCharType="separate"/>
      </w:r>
      <w:r>
        <w:rPr>
          <w:noProof/>
        </w:rPr>
        <w:t>3</w:t>
      </w:r>
      <w:r>
        <w:fldChar w:fldCharType="end"/>
      </w:r>
      <w:bookmarkEnd w:id="4"/>
      <w:r>
        <w:t>: eMBB transmitted in a DTX manner</w:t>
      </w:r>
    </w:p>
    <w:p w:rsidR="00F84B8E" w:rsidRDefault="00F84B8E" w:rsidP="00F84B8E">
      <w:pPr>
        <w:rPr>
          <w:rFonts w:eastAsia="MS Mincho"/>
          <w:b/>
          <w:lang w:val="en-US"/>
        </w:rPr>
      </w:pPr>
    </w:p>
    <w:p w:rsidR="00F84B8E" w:rsidRDefault="00F84B8E" w:rsidP="00F84B8E">
      <w:pPr>
        <w:rPr>
          <w:rFonts w:eastAsia="MS Mincho"/>
          <w:b/>
          <w:lang w:val="en-US"/>
        </w:rPr>
      </w:pPr>
      <w:r>
        <w:rPr>
          <w:rFonts w:eastAsia="MS Mincho"/>
          <w:b/>
          <w:lang w:val="en-US"/>
        </w:rPr>
        <w:t>Proposal 5: For inter-UE URLLC and eMBB pre-emption where the URLLC is transmitted using uplink grant free that overlaps the eMBB transmission, the eMBB is transmitted in a DTX manner.</w:t>
      </w:r>
    </w:p>
    <w:p w:rsidR="00F84B8E" w:rsidRDefault="00F84B8E" w:rsidP="00F84B8E">
      <w:pPr>
        <w:rPr>
          <w:lang w:val="en-US"/>
        </w:rPr>
      </w:pPr>
    </w:p>
    <w:p w:rsidR="00F84B8E" w:rsidRDefault="00A7365B" w:rsidP="00F84B8E">
      <w:pPr>
        <w:rPr>
          <w:lang w:val="en-US"/>
        </w:rPr>
      </w:pPr>
      <w:r>
        <w:rPr>
          <w:lang w:val="en-US"/>
        </w:rPr>
        <w:lastRenderedPageBreak/>
        <w:t>Another</w:t>
      </w:r>
      <w:r w:rsidR="00F84B8E">
        <w:rPr>
          <w:lang w:val="en-US"/>
        </w:rPr>
        <w:t xml:space="preserve"> alternative is for the gNB to assign URLLC PUSCH with updated transmission parameters (e.g. resource, MCS, transmit power) on grant free resources that are occupied by eMBB PUSCH.  Here, if the gNB schedules a PUSCH, where some of its transmission overlaps grant free resources, the gNB can signal updated transmission parameters for a URLLC UE configured with these grant free resources</w:t>
      </w:r>
      <w:r>
        <w:rPr>
          <w:lang w:val="en-US"/>
        </w:rPr>
        <w:t>, using a GC-DCI</w:t>
      </w:r>
      <w:r w:rsidR="00F84B8E">
        <w:rPr>
          <w:lang w:val="en-US"/>
        </w:rPr>
        <w:t xml:space="preserve">.  An example is shown in </w:t>
      </w:r>
      <w:r w:rsidR="00F84B8E">
        <w:rPr>
          <w:lang w:val="en-US"/>
        </w:rPr>
        <w:fldChar w:fldCharType="begin"/>
      </w:r>
      <w:r w:rsidR="00F84B8E">
        <w:rPr>
          <w:lang w:val="en-US"/>
        </w:rPr>
        <w:instrText xml:space="preserve"> REF _Ref521317110 \h </w:instrText>
      </w:r>
      <w:r w:rsidR="00F84B8E">
        <w:rPr>
          <w:lang w:val="en-US"/>
        </w:rPr>
      </w:r>
      <w:r w:rsidR="00F84B8E">
        <w:rPr>
          <w:lang w:val="en-US"/>
        </w:rPr>
        <w:fldChar w:fldCharType="separate"/>
      </w:r>
      <w:r w:rsidR="00F84B8E">
        <w:t xml:space="preserve">Figure </w:t>
      </w:r>
      <w:r w:rsidR="00F84B8E">
        <w:rPr>
          <w:noProof/>
        </w:rPr>
        <w:t>4</w:t>
      </w:r>
      <w:r w:rsidR="00F84B8E">
        <w:rPr>
          <w:lang w:val="en-US"/>
        </w:rPr>
        <w:fldChar w:fldCharType="end"/>
      </w:r>
      <w:r w:rsidR="00F84B8E">
        <w:rPr>
          <w:lang w:val="en-US"/>
        </w:rPr>
        <w:t xml:space="preserve"> where the gNB configured grant free resources between frequency </w:t>
      </w:r>
      <w:r w:rsidR="00F84B8E">
        <w:rPr>
          <w:i/>
          <w:lang w:val="en-US"/>
        </w:rPr>
        <w:t>f</w:t>
      </w:r>
      <w:r w:rsidR="00F84B8E">
        <w:rPr>
          <w:vertAlign w:val="subscript"/>
          <w:lang w:val="en-US"/>
        </w:rPr>
        <w:t>1</w:t>
      </w:r>
      <w:r w:rsidR="00F84B8E">
        <w:rPr>
          <w:lang w:val="en-US"/>
        </w:rPr>
        <w:t xml:space="preserve"> and </w:t>
      </w:r>
      <w:r w:rsidR="00F84B8E">
        <w:rPr>
          <w:i/>
          <w:lang w:val="en-US"/>
        </w:rPr>
        <w:t>f</w:t>
      </w:r>
      <w:r w:rsidR="00F84B8E">
        <w:rPr>
          <w:vertAlign w:val="subscript"/>
          <w:lang w:val="en-US"/>
        </w:rPr>
        <w:t>4</w:t>
      </w:r>
      <w:r w:rsidR="00F84B8E">
        <w:rPr>
          <w:lang w:val="en-US"/>
        </w:rPr>
        <w:t xml:space="preserve"> for UE2 (URLLC UE). </w:t>
      </w:r>
      <w:r w:rsidR="007E7488">
        <w:rPr>
          <w:lang w:val="en-US"/>
        </w:rPr>
        <w:t>Time-frequency</w:t>
      </w:r>
      <w:r w:rsidR="00F84B8E">
        <w:rPr>
          <w:lang w:val="en-US"/>
        </w:rPr>
        <w:t xml:space="preserve"> resources and transmission parameters (e.g. MCS, power control parameters) to apply in the configured grant free resources</w:t>
      </w:r>
      <w:r w:rsidR="007E7488">
        <w:rPr>
          <w:lang w:val="en-US"/>
        </w:rPr>
        <w:t xml:space="preserve"> are indicated via RRC signaling for Type 1 and DCI signaling for Type 2</w:t>
      </w:r>
      <w:r w:rsidR="00F84B8E">
        <w:rPr>
          <w:lang w:val="en-US"/>
        </w:rPr>
        <w:t xml:space="preserve">. At time </w:t>
      </w:r>
      <w:r w:rsidR="00F84B8E">
        <w:rPr>
          <w:i/>
          <w:lang w:val="en-US"/>
        </w:rPr>
        <w:t>t</w:t>
      </w:r>
      <w:r w:rsidR="00F84B8E">
        <w:rPr>
          <w:vertAlign w:val="subscript"/>
          <w:lang w:val="en-US"/>
        </w:rPr>
        <w:t>0</w:t>
      </w:r>
      <w:r w:rsidR="00F84B8E">
        <w:rPr>
          <w:lang w:val="en-US"/>
        </w:rPr>
        <w:t xml:space="preserve">, the gNB schedules an eMBB UE1 with a PUSCH transmission in the following slot starting at </w:t>
      </w:r>
      <w:r w:rsidR="00F84B8E">
        <w:rPr>
          <w:i/>
          <w:lang w:val="en-US"/>
        </w:rPr>
        <w:t>t</w:t>
      </w:r>
      <w:r w:rsidR="00F84B8E">
        <w:rPr>
          <w:vertAlign w:val="subscript"/>
          <w:lang w:val="en-US"/>
        </w:rPr>
        <w:t>2</w:t>
      </w:r>
      <w:r w:rsidR="00F84B8E">
        <w:rPr>
          <w:lang w:val="en-US"/>
        </w:rPr>
        <w:t xml:space="preserve"> and ending at </w:t>
      </w:r>
      <w:r w:rsidR="00F84B8E">
        <w:rPr>
          <w:i/>
          <w:lang w:val="en-US"/>
        </w:rPr>
        <w:t>t</w:t>
      </w:r>
      <w:r w:rsidR="00F84B8E">
        <w:rPr>
          <w:vertAlign w:val="subscript"/>
          <w:lang w:val="en-US"/>
        </w:rPr>
        <w:t>9</w:t>
      </w:r>
      <w:r w:rsidR="00F84B8E">
        <w:rPr>
          <w:lang w:val="en-US"/>
        </w:rPr>
        <w:t xml:space="preserve">, which overlaps the configured grant free resources between time </w:t>
      </w:r>
      <w:r w:rsidR="00F84B8E">
        <w:rPr>
          <w:i/>
          <w:lang w:val="en-US"/>
        </w:rPr>
        <w:t>t</w:t>
      </w:r>
      <w:r w:rsidR="00F84B8E">
        <w:rPr>
          <w:vertAlign w:val="subscript"/>
          <w:lang w:val="en-US"/>
        </w:rPr>
        <w:t>2</w:t>
      </w:r>
      <w:r w:rsidR="00F84B8E">
        <w:rPr>
          <w:lang w:val="en-US"/>
        </w:rPr>
        <w:t xml:space="preserve"> and </w:t>
      </w:r>
      <w:r w:rsidR="00F84B8E">
        <w:rPr>
          <w:i/>
          <w:lang w:val="en-US"/>
        </w:rPr>
        <w:t>t</w:t>
      </w:r>
      <w:r w:rsidR="00F84B8E">
        <w:rPr>
          <w:vertAlign w:val="subscript"/>
          <w:lang w:val="en-US"/>
        </w:rPr>
        <w:t>9</w:t>
      </w:r>
      <w:r w:rsidR="00F84B8E">
        <w:rPr>
          <w:lang w:val="en-US"/>
        </w:rPr>
        <w:t xml:space="preserve"> and frequency </w:t>
      </w:r>
      <w:r w:rsidR="00F84B8E">
        <w:rPr>
          <w:i/>
          <w:lang w:val="en-US"/>
        </w:rPr>
        <w:t>f</w:t>
      </w:r>
      <w:r w:rsidR="00F84B8E">
        <w:rPr>
          <w:vertAlign w:val="subscript"/>
          <w:lang w:val="en-US"/>
        </w:rPr>
        <w:t>1</w:t>
      </w:r>
      <w:r w:rsidR="00F84B8E">
        <w:rPr>
          <w:lang w:val="en-US"/>
        </w:rPr>
        <w:t xml:space="preserve"> to </w:t>
      </w:r>
      <w:r w:rsidR="00F84B8E">
        <w:rPr>
          <w:i/>
          <w:lang w:val="en-US"/>
        </w:rPr>
        <w:t>f</w:t>
      </w:r>
      <w:r w:rsidR="00F84B8E">
        <w:rPr>
          <w:vertAlign w:val="subscript"/>
          <w:lang w:val="en-US"/>
        </w:rPr>
        <w:t>2</w:t>
      </w:r>
      <w:r w:rsidR="00F84B8E">
        <w:rPr>
          <w:lang w:val="en-US"/>
        </w:rPr>
        <w:t xml:space="preserve">.  At time </w:t>
      </w:r>
      <w:r w:rsidR="00F84B8E">
        <w:rPr>
          <w:i/>
          <w:lang w:val="en-US"/>
        </w:rPr>
        <w:t>t</w:t>
      </w:r>
      <w:r w:rsidR="00F84B8E">
        <w:rPr>
          <w:vertAlign w:val="subscript"/>
          <w:lang w:val="en-US"/>
        </w:rPr>
        <w:t>2</w:t>
      </w:r>
      <w:r w:rsidR="00F84B8E">
        <w:rPr>
          <w:lang w:val="en-US"/>
        </w:rPr>
        <w:t xml:space="preserve">, the gNB signals the updated transmission parameters informing the URLLC UE configured with these grant free resources, i.e. UE2, to avoid a subset of grant free resources (time </w:t>
      </w:r>
      <w:r w:rsidR="00F84B8E">
        <w:rPr>
          <w:i/>
          <w:lang w:val="en-US"/>
        </w:rPr>
        <w:t>t</w:t>
      </w:r>
      <w:r w:rsidR="00F84B8E">
        <w:rPr>
          <w:vertAlign w:val="subscript"/>
          <w:lang w:val="en-US"/>
        </w:rPr>
        <w:t>2</w:t>
      </w:r>
      <w:r w:rsidR="00F84B8E">
        <w:rPr>
          <w:lang w:val="en-US"/>
        </w:rPr>
        <w:t xml:space="preserve"> and </w:t>
      </w:r>
      <w:r w:rsidR="00F84B8E">
        <w:rPr>
          <w:i/>
          <w:lang w:val="en-US"/>
        </w:rPr>
        <w:t>t</w:t>
      </w:r>
      <w:r w:rsidR="00F84B8E">
        <w:rPr>
          <w:vertAlign w:val="subscript"/>
          <w:lang w:val="en-US"/>
        </w:rPr>
        <w:t>9</w:t>
      </w:r>
      <w:r w:rsidR="00F84B8E">
        <w:rPr>
          <w:lang w:val="en-US"/>
        </w:rPr>
        <w:t xml:space="preserve"> and frequency </w:t>
      </w:r>
      <w:r w:rsidR="00F84B8E">
        <w:rPr>
          <w:i/>
          <w:lang w:val="en-US"/>
        </w:rPr>
        <w:t>f</w:t>
      </w:r>
      <w:r w:rsidR="00F84B8E">
        <w:rPr>
          <w:vertAlign w:val="subscript"/>
          <w:lang w:val="en-US"/>
        </w:rPr>
        <w:t>1</w:t>
      </w:r>
      <w:r w:rsidR="00F84B8E">
        <w:rPr>
          <w:lang w:val="en-US"/>
        </w:rPr>
        <w:t xml:space="preserve"> to </w:t>
      </w:r>
      <w:r w:rsidR="00F84B8E">
        <w:rPr>
          <w:i/>
          <w:lang w:val="en-US"/>
        </w:rPr>
        <w:t>f</w:t>
      </w:r>
      <w:r w:rsidR="00F84B8E">
        <w:rPr>
          <w:vertAlign w:val="subscript"/>
          <w:lang w:val="en-US"/>
        </w:rPr>
        <w:t>2</w:t>
      </w:r>
      <w:r w:rsidR="00F84B8E">
        <w:rPr>
          <w:lang w:val="en-US"/>
        </w:rPr>
        <w:t xml:space="preserve">) since it is occupied by UE1 transmitting the eMBB PUSCH. The updated transmission parameters can act as an “override” of the default parameters that were </w:t>
      </w:r>
      <w:r w:rsidR="007E7488">
        <w:rPr>
          <w:lang w:val="en-US"/>
        </w:rPr>
        <w:t>indicated</w:t>
      </w:r>
      <w:r w:rsidR="00F84B8E">
        <w:rPr>
          <w:lang w:val="en-US"/>
        </w:rPr>
        <w:t xml:space="preserve"> earlier.   Here UE2 transmits PUSCH using these updated transmission parameters avoiding the resources occupied by UE1.</w:t>
      </w:r>
    </w:p>
    <w:p w:rsidR="00F84B8E" w:rsidRDefault="00F84B8E" w:rsidP="00F84B8E">
      <w:pPr>
        <w:rPr>
          <w:b/>
          <w:lang w:val="en-US"/>
        </w:rPr>
      </w:pPr>
    </w:p>
    <w:p w:rsidR="00F84B8E" w:rsidRDefault="00F84B8E" w:rsidP="00F84B8E">
      <w:pPr>
        <w:jc w:val="center"/>
        <w:rPr>
          <w:lang w:val="en-US"/>
        </w:rPr>
      </w:pPr>
      <w:r>
        <w:rPr>
          <w:noProof/>
          <w:lang w:eastAsia="en-GB"/>
        </w:rPr>
        <w:drawing>
          <wp:inline distT="0" distB="0" distL="0" distR="0">
            <wp:extent cx="4225290" cy="3166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5290" cy="3166110"/>
                    </a:xfrm>
                    <a:prstGeom prst="rect">
                      <a:avLst/>
                    </a:prstGeom>
                    <a:noFill/>
                    <a:ln>
                      <a:noFill/>
                    </a:ln>
                  </pic:spPr>
                </pic:pic>
              </a:graphicData>
            </a:graphic>
          </wp:inline>
        </w:drawing>
      </w:r>
    </w:p>
    <w:p w:rsidR="00F84B8E" w:rsidRDefault="00F84B8E" w:rsidP="00F84B8E">
      <w:pPr>
        <w:pStyle w:val="Caption"/>
        <w:jc w:val="center"/>
        <w:rPr>
          <w:lang w:val="en-US"/>
        </w:rPr>
      </w:pPr>
      <w:bookmarkStart w:id="5" w:name="_Ref521317110"/>
      <w:r>
        <w:t xml:space="preserve">Figure </w:t>
      </w:r>
      <w:r>
        <w:fldChar w:fldCharType="begin"/>
      </w:r>
      <w:r>
        <w:rPr>
          <w:noProof/>
        </w:rPr>
        <w:instrText xml:space="preserve"> SEQ Figure \* ARABIC </w:instrText>
      </w:r>
      <w:r>
        <w:fldChar w:fldCharType="separate"/>
      </w:r>
      <w:r>
        <w:rPr>
          <w:noProof/>
        </w:rPr>
        <w:t>4</w:t>
      </w:r>
      <w:r>
        <w:fldChar w:fldCharType="end"/>
      </w:r>
      <w:bookmarkEnd w:id="5"/>
      <w:r>
        <w:t>: transmission adaptation indicator</w:t>
      </w:r>
    </w:p>
    <w:p w:rsidR="00F84B8E" w:rsidRDefault="00F84B8E" w:rsidP="00F84B8E">
      <w:pPr>
        <w:rPr>
          <w:b/>
          <w:lang w:val="en-US"/>
        </w:rPr>
      </w:pPr>
      <w:bookmarkStart w:id="6" w:name="_GoBack"/>
      <w:r>
        <w:rPr>
          <w:b/>
          <w:lang w:val="en-US"/>
        </w:rPr>
        <w:t>Proposal 6: Support the updating of transmission parameters for configured grant free resources that override the default transmission parameters for the portion of a configured UL grant free resource that has been dynamically scheduled for an eMBB PUSCH transmission.</w:t>
      </w:r>
    </w:p>
    <w:bookmarkEnd w:id="6"/>
    <w:p w:rsidR="00F84B8E" w:rsidRDefault="00F84B8E" w:rsidP="00F84B8E">
      <w:pPr>
        <w:rPr>
          <w:b/>
        </w:rPr>
      </w:pP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rsidR="00855F39" w:rsidRDefault="00855F39" w:rsidP="00855F39">
      <w:r>
        <w:t xml:space="preserve">In this contribution we discuss </w:t>
      </w:r>
      <w:r w:rsidR="00A7365B">
        <w:t>remaining issues on UL PI.  We observe the following</w:t>
      </w:r>
      <w:r>
        <w:t>:</w:t>
      </w:r>
    </w:p>
    <w:p w:rsidR="00905344" w:rsidRPr="00F70B87" w:rsidRDefault="00905344" w:rsidP="00905344">
      <w:pPr>
        <w:rPr>
          <w:b/>
          <w:lang w:val="en-US"/>
        </w:rPr>
      </w:pPr>
      <w:r w:rsidRPr="00F70B87">
        <w:rPr>
          <w:b/>
          <w:lang w:val="en-US"/>
        </w:rPr>
        <w:t xml:space="preserve">Observation 1: The faster the UL PI processing time relative to PUSCH preparation time </w:t>
      </w:r>
      <w:r w:rsidRPr="00F70B87">
        <w:rPr>
          <w:b/>
          <w:i/>
          <w:lang w:val="en-US"/>
        </w:rPr>
        <w:t>N</w:t>
      </w:r>
      <w:r w:rsidRPr="00F70B87">
        <w:rPr>
          <w:b/>
          <w:vertAlign w:val="subscript"/>
          <w:lang w:val="en-US"/>
        </w:rPr>
        <w:t>2</w:t>
      </w:r>
      <w:r w:rsidRPr="00F70B87">
        <w:rPr>
          <w:b/>
          <w:lang w:val="en-US"/>
        </w:rPr>
        <w:t>, the longer the UL PI monitoring is required for the eMBB UE and this would reduce the complexity require for UL PI monitoring.</w:t>
      </w:r>
    </w:p>
    <w:p w:rsidR="00905344" w:rsidRDefault="00905344" w:rsidP="00905344">
      <w:pPr>
        <w:rPr>
          <w:b/>
          <w:lang w:val="en-US"/>
        </w:rPr>
      </w:pPr>
      <w:r w:rsidRPr="002E65CC">
        <w:rPr>
          <w:b/>
          <w:lang w:val="en-US"/>
        </w:rPr>
        <w:t>Observation 2: A sequence based UL PI can be detected in a fraction of a symbol, which is much faster than blind decoding of PDCCH based UL PI.</w:t>
      </w:r>
    </w:p>
    <w:p w:rsidR="00905344" w:rsidRPr="002E65CC" w:rsidRDefault="00905344" w:rsidP="00905344">
      <w:pPr>
        <w:rPr>
          <w:b/>
          <w:lang w:val="en-US"/>
        </w:rPr>
      </w:pPr>
      <w:r>
        <w:rPr>
          <w:b/>
          <w:lang w:val="en-US"/>
        </w:rPr>
        <w:t>Observation 3: A sequence based UL PI is far more reliable than a PDCCH based UL PI.</w:t>
      </w:r>
    </w:p>
    <w:p w:rsidR="00905344" w:rsidRPr="00694A05" w:rsidRDefault="00905344" w:rsidP="00905344">
      <w:pPr>
        <w:rPr>
          <w:b/>
          <w:lang w:val="en-US"/>
        </w:rPr>
      </w:pPr>
      <w:r w:rsidRPr="00694A05">
        <w:rPr>
          <w:b/>
          <w:lang w:val="en-US"/>
        </w:rPr>
        <w:lastRenderedPageBreak/>
        <w:t xml:space="preserve">Observation </w:t>
      </w:r>
      <w:r>
        <w:rPr>
          <w:b/>
          <w:lang w:val="en-US"/>
        </w:rPr>
        <w:t>4</w:t>
      </w:r>
      <w:r w:rsidRPr="00694A05">
        <w:rPr>
          <w:b/>
          <w:lang w:val="en-US"/>
        </w:rPr>
        <w:t>: A sequence based UL PI will not increase the PDCCH blind decoding rate of the eMBB UE.</w:t>
      </w:r>
    </w:p>
    <w:p w:rsidR="00905344" w:rsidRDefault="00905344" w:rsidP="00905344">
      <w:pPr>
        <w:rPr>
          <w:rFonts w:eastAsia="MS Mincho"/>
          <w:b/>
          <w:lang w:val="en-US"/>
        </w:rPr>
      </w:pPr>
      <w:r w:rsidRPr="00085FEE">
        <w:rPr>
          <w:rFonts w:eastAsia="MS Mincho"/>
          <w:b/>
          <w:lang w:val="en-US"/>
        </w:rPr>
        <w:t xml:space="preserve">Observation </w:t>
      </w:r>
      <w:r>
        <w:rPr>
          <w:rFonts w:eastAsia="MS Mincho"/>
          <w:b/>
          <w:lang w:val="en-US"/>
        </w:rPr>
        <w:t>5</w:t>
      </w:r>
      <w:r w:rsidRPr="00085FEE">
        <w:rPr>
          <w:rFonts w:eastAsia="MS Mincho"/>
          <w:b/>
          <w:lang w:val="en-US"/>
        </w:rPr>
        <w:t>: Pre-emption indicator targeting a group of UEs (e.g. carried by a GC-DCI) can lead to “ghost pre-emption” where a victim eMBB UE is wrongly indicated to have been pre-empted leading to unnecessary retransmission.</w:t>
      </w:r>
    </w:p>
    <w:p w:rsidR="00905344" w:rsidRPr="004B09B0" w:rsidRDefault="00905344" w:rsidP="00905344">
      <w:pPr>
        <w:rPr>
          <w:rFonts w:eastAsia="MS Mincho"/>
          <w:b/>
          <w:lang w:val="en-US"/>
        </w:rPr>
      </w:pPr>
      <w:r w:rsidRPr="004B09B0">
        <w:rPr>
          <w:rFonts w:eastAsia="MS Mincho"/>
          <w:b/>
          <w:lang w:val="en-US"/>
        </w:rPr>
        <w:t xml:space="preserve">Observation </w:t>
      </w:r>
      <w:r>
        <w:rPr>
          <w:rFonts w:eastAsia="MS Mincho"/>
          <w:b/>
          <w:lang w:val="en-US"/>
        </w:rPr>
        <w:t>6</w:t>
      </w:r>
      <w:r w:rsidRPr="004B09B0">
        <w:rPr>
          <w:rFonts w:eastAsia="MS Mincho"/>
          <w:b/>
          <w:lang w:val="en-US"/>
        </w:rPr>
        <w:t xml:space="preserve">: Unlike in downlink URLLC (PDSCH), it is far more efficient and reliable to transmit the URLLC PUSCH using as few PRBs as possible to boost the PSD (Power Spectral Density) than to spread the PUSCH over numerous PRB. </w:t>
      </w:r>
    </w:p>
    <w:p w:rsidR="00905344" w:rsidRPr="004B09B0" w:rsidRDefault="00905344" w:rsidP="00905344">
      <w:pPr>
        <w:rPr>
          <w:rFonts w:eastAsia="MS Mincho"/>
          <w:b/>
          <w:lang w:val="en-US"/>
        </w:rPr>
      </w:pPr>
      <w:r w:rsidRPr="004B09B0">
        <w:rPr>
          <w:rFonts w:eastAsia="MS Mincho"/>
          <w:b/>
          <w:lang w:val="en-US"/>
        </w:rPr>
        <w:t xml:space="preserve">Observation </w:t>
      </w:r>
      <w:r>
        <w:rPr>
          <w:rFonts w:eastAsia="MS Mincho"/>
          <w:b/>
          <w:lang w:val="en-US"/>
        </w:rPr>
        <w:t>7</w:t>
      </w:r>
      <w:r w:rsidRPr="004B09B0">
        <w:rPr>
          <w:rFonts w:eastAsia="MS Mincho"/>
          <w:b/>
          <w:lang w:val="en-US"/>
        </w:rPr>
        <w:t>: Unlike in downlink URLLC (PDSCH) which occupies a large frequency bandwidth, the uplink URRLC (PUSCH) is likely to occupy narrower frequency bandwidth and therefore unlikely to pre-empt multiple eMBB PUSCH.</w:t>
      </w:r>
    </w:p>
    <w:p w:rsidR="00855F39" w:rsidRDefault="00855F39" w:rsidP="00855F39">
      <w:pPr>
        <w:rPr>
          <w:b/>
        </w:rPr>
      </w:pPr>
    </w:p>
    <w:p w:rsidR="00160371" w:rsidRDefault="00160371" w:rsidP="00855F39">
      <w:r>
        <w:t>We therefore propose the following:</w:t>
      </w:r>
    </w:p>
    <w:p w:rsidR="00905344" w:rsidRPr="00694A05" w:rsidRDefault="00905344" w:rsidP="00905344">
      <w:pPr>
        <w:rPr>
          <w:rFonts w:eastAsia="MS Mincho"/>
          <w:b/>
          <w:lang w:val="en-US"/>
        </w:rPr>
      </w:pPr>
      <w:r w:rsidRPr="00694A05">
        <w:rPr>
          <w:rFonts w:eastAsia="MS Mincho"/>
          <w:b/>
          <w:lang w:val="en-US"/>
        </w:rPr>
        <w:t>Proposal 1: The UL PI is transmitted using a sequence.</w:t>
      </w:r>
    </w:p>
    <w:p w:rsidR="00905344" w:rsidRPr="004B09B0" w:rsidRDefault="00905344" w:rsidP="00905344">
      <w:pPr>
        <w:rPr>
          <w:rFonts w:eastAsia="MS Mincho"/>
          <w:b/>
          <w:lang w:val="en-US"/>
        </w:rPr>
      </w:pPr>
      <w:r w:rsidRPr="004B09B0">
        <w:rPr>
          <w:rFonts w:eastAsia="MS Mincho"/>
          <w:b/>
          <w:lang w:val="en-US"/>
        </w:rPr>
        <w:t>Proposal 2: The UL PI is UE specific.</w:t>
      </w:r>
    </w:p>
    <w:p w:rsidR="00905344" w:rsidRPr="00F84B8E" w:rsidRDefault="00905344" w:rsidP="00905344">
      <w:pPr>
        <w:rPr>
          <w:rFonts w:eastAsia="MS Mincho"/>
          <w:b/>
          <w:lang w:val="en-US"/>
        </w:rPr>
      </w:pPr>
      <w:r w:rsidRPr="00F84B8E">
        <w:rPr>
          <w:rFonts w:eastAsia="MS Mincho"/>
          <w:b/>
          <w:lang w:val="en-US"/>
        </w:rPr>
        <w:t>Proposal 3: For an eMBB UE monitoring UL PI, a presence of the UL PI sequence means the corresponding eMBB PUSCH is pre-empted and an absence of the UL PI sequence means there is no pre-emption.</w:t>
      </w:r>
    </w:p>
    <w:p w:rsidR="00905344" w:rsidRPr="00F84B8E" w:rsidRDefault="00905344" w:rsidP="00905344">
      <w:pPr>
        <w:rPr>
          <w:rFonts w:eastAsia="MS Mincho"/>
          <w:b/>
          <w:lang w:val="en-US"/>
        </w:rPr>
      </w:pPr>
      <w:r w:rsidRPr="00F84B8E">
        <w:rPr>
          <w:rFonts w:eastAsia="MS Mincho"/>
          <w:b/>
          <w:lang w:val="en-US"/>
        </w:rPr>
        <w:t>Proposal 4: When the eMBB UE PUSCH is indicated as being pre-empted the UE drops the PUSCH transmission or a pre-defined time section of the PUSCH transmission.</w:t>
      </w:r>
    </w:p>
    <w:p w:rsidR="00905344" w:rsidRDefault="00905344" w:rsidP="00905344">
      <w:pPr>
        <w:rPr>
          <w:rFonts w:eastAsia="MS Mincho"/>
          <w:b/>
          <w:lang w:val="en-US"/>
        </w:rPr>
      </w:pPr>
      <w:r>
        <w:rPr>
          <w:rFonts w:eastAsia="MS Mincho"/>
          <w:b/>
          <w:lang w:val="en-US"/>
        </w:rPr>
        <w:t>Proposal 5: For inter-UE URLLC and eMBB pre-emption where the URLLC is transmitted using uplink grant free that overlaps the eMBB transmission, the eMBB is transmitted in a DTX manner.</w:t>
      </w:r>
    </w:p>
    <w:p w:rsidR="00905344" w:rsidRDefault="00905344" w:rsidP="00905344">
      <w:pPr>
        <w:rPr>
          <w:b/>
          <w:lang w:val="en-US"/>
        </w:rPr>
      </w:pPr>
      <w:r>
        <w:rPr>
          <w:b/>
          <w:lang w:val="en-US"/>
        </w:rPr>
        <w:t>Proposal 6: Support the updating of transmission parameters for configured grant free resources that override the default transmission parameters for the portion of a configured UL grant free resource that has been dynamically scheduled for an eMBB PUSCH transmission.</w:t>
      </w:r>
    </w:p>
    <w:p w:rsidR="00A91C99" w:rsidRPr="001D7294" w:rsidRDefault="00A91C99" w:rsidP="00A91C99">
      <w:pPr>
        <w:rPr>
          <w:rFonts w:eastAsia="MS Mincho"/>
          <w:b/>
          <w:lang w:val="en-US"/>
        </w:rPr>
      </w:pP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7271F6" w:rsidRDefault="00855F39" w:rsidP="00855F39">
      <w:r>
        <w:t xml:space="preserve">[1] </w:t>
      </w:r>
      <w:r w:rsidR="00F70B87" w:rsidRPr="00F70B87">
        <w:t>R1-1900374</w:t>
      </w:r>
      <w:r>
        <w:t>, “</w:t>
      </w:r>
      <w:r w:rsidR="00F70B87" w:rsidRPr="00F70B87">
        <w:t>Considerations on inter-UE transmission multiplexing &amp; prioritisation</w:t>
      </w:r>
      <w:r w:rsidR="007271F6">
        <w:t>,</w:t>
      </w:r>
      <w:r>
        <w:t>”</w:t>
      </w:r>
      <w:r w:rsidR="007271F6">
        <w:t xml:space="preserve"> </w:t>
      </w:r>
      <w:r w:rsidR="00F70B87" w:rsidRPr="00F70B87">
        <w:t>Sony</w:t>
      </w:r>
      <w:r w:rsidR="007271F6">
        <w:t>, RAN1 Ad-Hoc 1901</w:t>
      </w:r>
    </w:p>
    <w:p w:rsidR="002E65CC" w:rsidRDefault="002E65CC" w:rsidP="00855F39">
      <w:r>
        <w:t xml:space="preserve">[2] </w:t>
      </w:r>
      <w:r w:rsidRPr="002E65CC">
        <w:t>R1-1900286</w:t>
      </w:r>
      <w:r>
        <w:t>, “</w:t>
      </w:r>
      <w:r w:rsidRPr="002E65CC">
        <w:t>Consideration on UL inter UE Tx prioritization and multiplexing</w:t>
      </w:r>
      <w:r>
        <w:t>,” OPPO, RAN1 Ad-Hoc 1901</w:t>
      </w:r>
    </w:p>
    <w:p w:rsidR="00694A05" w:rsidRDefault="00694A05" w:rsidP="00855F39">
      <w:r>
        <w:t xml:space="preserve">[3] </w:t>
      </w:r>
      <w:r w:rsidRPr="00694A05">
        <w:t>R1-1718657</w:t>
      </w:r>
      <w:r>
        <w:t>, “</w:t>
      </w:r>
      <w:r w:rsidRPr="00694A05">
        <w:t>Myths and remaining issues in Pre-emption Indicator</w:t>
      </w:r>
      <w:r>
        <w:t>,” Sony, RAN1#90bis</w:t>
      </w:r>
    </w:p>
    <w:p w:rsidR="00F84B8E" w:rsidRDefault="00F84B8E" w:rsidP="00F84B8E">
      <w:r>
        <w:t>[4] R1-1808344, “UL Inter-UE Pre-emption,” Sony, RAN1#94</w:t>
      </w:r>
    </w:p>
    <w:p w:rsidR="00F84B8E" w:rsidRDefault="00F84B8E" w:rsidP="00855F39"/>
    <w:p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A15" w:rsidRDefault="00005A15">
      <w:r>
        <w:separator/>
      </w:r>
    </w:p>
  </w:endnote>
  <w:endnote w:type="continuationSeparator" w:id="0">
    <w:p w:rsidR="00005A15" w:rsidRDefault="0000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A15" w:rsidRDefault="00005A15">
      <w:r>
        <w:separator/>
      </w:r>
    </w:p>
  </w:footnote>
  <w:footnote w:type="continuationSeparator" w:id="0">
    <w:p w:rsidR="00005A15" w:rsidRDefault="00005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3"/>
  </w:num>
  <w:num w:numId="4">
    <w:abstractNumId w:val="5"/>
  </w:num>
  <w:num w:numId="5">
    <w:abstractNumId w:val="15"/>
  </w:num>
  <w:num w:numId="6">
    <w:abstractNumId w:val="6"/>
  </w:num>
  <w:num w:numId="7">
    <w:abstractNumId w:val="1"/>
  </w:num>
  <w:num w:numId="8">
    <w:abstractNumId w:val="0"/>
  </w:num>
  <w:num w:numId="9">
    <w:abstractNumId w:val="11"/>
  </w:num>
  <w:num w:numId="10">
    <w:abstractNumId w:val="9"/>
  </w:num>
  <w:num w:numId="11">
    <w:abstractNumId w:val="4"/>
  </w:num>
  <w:num w:numId="12">
    <w:abstractNumId w:val="22"/>
  </w:num>
  <w:num w:numId="13">
    <w:abstractNumId w:val="14"/>
  </w:num>
  <w:num w:numId="14">
    <w:abstractNumId w:val="8"/>
  </w:num>
  <w:num w:numId="15">
    <w:abstractNumId w:val="20"/>
  </w:num>
  <w:num w:numId="16">
    <w:abstractNumId w:val="17"/>
  </w:num>
  <w:num w:numId="17">
    <w:abstractNumId w:val="23"/>
  </w:num>
  <w:num w:numId="18">
    <w:abstractNumId w:val="18"/>
  </w:num>
  <w:num w:numId="19">
    <w:abstractNumId w:val="12"/>
  </w:num>
  <w:num w:numId="20">
    <w:abstractNumId w:val="2"/>
  </w:num>
  <w:num w:numId="21">
    <w:abstractNumId w:val="10"/>
  </w:num>
  <w:num w:numId="22">
    <w:abstractNumId w:val="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5A15"/>
    <w:rsid w:val="00031AA4"/>
    <w:rsid w:val="00085FEE"/>
    <w:rsid w:val="00106793"/>
    <w:rsid w:val="00160371"/>
    <w:rsid w:val="001D7294"/>
    <w:rsid w:val="001F6D3C"/>
    <w:rsid w:val="002136ED"/>
    <w:rsid w:val="0022222B"/>
    <w:rsid w:val="002761EC"/>
    <w:rsid w:val="002B1D8E"/>
    <w:rsid w:val="002C75C7"/>
    <w:rsid w:val="002D14A6"/>
    <w:rsid w:val="002E65CC"/>
    <w:rsid w:val="002F7659"/>
    <w:rsid w:val="003539C7"/>
    <w:rsid w:val="00395BCB"/>
    <w:rsid w:val="003A004E"/>
    <w:rsid w:val="003D3533"/>
    <w:rsid w:val="003D4C90"/>
    <w:rsid w:val="0041482F"/>
    <w:rsid w:val="00427D9F"/>
    <w:rsid w:val="00461379"/>
    <w:rsid w:val="0048511E"/>
    <w:rsid w:val="004A650D"/>
    <w:rsid w:val="004B09B0"/>
    <w:rsid w:val="004D1FC7"/>
    <w:rsid w:val="004D5BF4"/>
    <w:rsid w:val="00503DA1"/>
    <w:rsid w:val="00544758"/>
    <w:rsid w:val="0055725A"/>
    <w:rsid w:val="005D729E"/>
    <w:rsid w:val="005F5642"/>
    <w:rsid w:val="006511E4"/>
    <w:rsid w:val="006569B2"/>
    <w:rsid w:val="00673015"/>
    <w:rsid w:val="00694A05"/>
    <w:rsid w:val="006B39D4"/>
    <w:rsid w:val="006D0EAA"/>
    <w:rsid w:val="007271F6"/>
    <w:rsid w:val="00773AC2"/>
    <w:rsid w:val="00783E56"/>
    <w:rsid w:val="007931D4"/>
    <w:rsid w:val="007A086D"/>
    <w:rsid w:val="007E7488"/>
    <w:rsid w:val="00802E59"/>
    <w:rsid w:val="008413E1"/>
    <w:rsid w:val="00855F39"/>
    <w:rsid w:val="008B589E"/>
    <w:rsid w:val="008D7C42"/>
    <w:rsid w:val="008F434A"/>
    <w:rsid w:val="00905344"/>
    <w:rsid w:val="00924FF2"/>
    <w:rsid w:val="0099351A"/>
    <w:rsid w:val="009C6A15"/>
    <w:rsid w:val="009D4321"/>
    <w:rsid w:val="009D6199"/>
    <w:rsid w:val="009E0604"/>
    <w:rsid w:val="00A4775E"/>
    <w:rsid w:val="00A57B22"/>
    <w:rsid w:val="00A7365B"/>
    <w:rsid w:val="00A91C99"/>
    <w:rsid w:val="00AB4ED7"/>
    <w:rsid w:val="00AE52A9"/>
    <w:rsid w:val="00AF500B"/>
    <w:rsid w:val="00B132F8"/>
    <w:rsid w:val="00B4693B"/>
    <w:rsid w:val="00B7015C"/>
    <w:rsid w:val="00BA58BF"/>
    <w:rsid w:val="00C05967"/>
    <w:rsid w:val="00C11C96"/>
    <w:rsid w:val="00C17CE0"/>
    <w:rsid w:val="00C64143"/>
    <w:rsid w:val="00C8704A"/>
    <w:rsid w:val="00CA382F"/>
    <w:rsid w:val="00CB2067"/>
    <w:rsid w:val="00D550D7"/>
    <w:rsid w:val="00D969D2"/>
    <w:rsid w:val="00DA4475"/>
    <w:rsid w:val="00DB3077"/>
    <w:rsid w:val="00DB7F21"/>
    <w:rsid w:val="00DE5DA3"/>
    <w:rsid w:val="00E7721C"/>
    <w:rsid w:val="00E80AA8"/>
    <w:rsid w:val="00E80C75"/>
    <w:rsid w:val="00EA40E1"/>
    <w:rsid w:val="00EF2E1D"/>
    <w:rsid w:val="00EF6860"/>
    <w:rsid w:val="00F1792E"/>
    <w:rsid w:val="00F27E41"/>
    <w:rsid w:val="00F41322"/>
    <w:rsid w:val="00F42338"/>
    <w:rsid w:val="00F70B87"/>
    <w:rsid w:val="00F84B8E"/>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60752">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827481448">
      <w:bodyDiv w:val="1"/>
      <w:marLeft w:val="0"/>
      <w:marRight w:val="0"/>
      <w:marTop w:val="0"/>
      <w:marBottom w:val="0"/>
      <w:divBdr>
        <w:top w:val="none" w:sz="0" w:space="0" w:color="auto"/>
        <w:left w:val="none" w:sz="0" w:space="0" w:color="auto"/>
        <w:bottom w:val="none" w:sz="0" w:space="0" w:color="auto"/>
        <w:right w:val="none" w:sz="0" w:space="0" w:color="auto"/>
      </w:divBdr>
    </w:div>
    <w:div w:id="92040958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50125659">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36305-473D-465B-93CE-02CB612F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2165</Words>
  <Characters>12346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3</cp:revision>
  <cp:lastPrinted>2002-04-23T09:10:00Z</cp:lastPrinted>
  <dcterms:created xsi:type="dcterms:W3CDTF">2019-02-13T16:32:00Z</dcterms:created>
  <dcterms:modified xsi:type="dcterms:W3CDTF">2019-02-15T22:02:00Z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